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_rels/document.xml.rels" ContentType="application/vnd.openxmlformats-package.relationships+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0" w:after="0"/>
        <w:ind w:hanging="0" w:left="0" w:right="0"/>
        <w:jc w:val="center"/>
        <w:outlineLvl w:val="0"/>
        <w:rPr>
          <w:highlight w:val="none"/>
          <w:shd w:fill="auto" w:val="clear"/>
        </w:rPr>
      </w:pPr>
      <w:r>
        <w:rPr>
          <w:rFonts w:cs="Arial" w:ascii="URW Bookman" w:hAnsi="URW Bookman"/>
          <w:b/>
          <w:color w:val="000000"/>
          <w:sz w:val="16"/>
          <w:szCs w:val="16"/>
          <w:u w:val="single"/>
          <w:shd w:fill="auto" w:val="clear"/>
        </w:rPr>
        <w:t>REPORTING PROFORMA FOR COMMERCIAL WINGS</w:t>
      </w:r>
    </w:p>
    <w:p>
      <w:pPr>
        <w:pStyle w:val="Normal"/>
        <w:numPr>
          <w:ilvl w:val="0"/>
          <w:numId w:val="0"/>
        </w:numPr>
        <w:spacing w:lineRule="auto" w:line="240" w:before="0" w:after="0"/>
        <w:ind w:hanging="0" w:left="0" w:right="0"/>
        <w:jc w:val="center"/>
        <w:outlineLvl w:val="0"/>
        <w:rPr>
          <w:highlight w:val="none"/>
          <w:shd w:fill="auto" w:val="clear"/>
        </w:rPr>
      </w:pPr>
      <w:r>
        <w:rPr>
          <w:rFonts w:cs="Arial" w:ascii="URW Bookman" w:hAnsi="URW Bookman"/>
          <w:i/>
          <w:color w:val="000000"/>
          <w:sz w:val="16"/>
          <w:szCs w:val="16"/>
          <w:shd w:fill="auto" w:val="clear"/>
        </w:rPr>
        <w:t>(Data Source: National Trade Statistics of the reporting country)</w:t>
      </w:r>
    </w:p>
    <w:p>
      <w:pPr>
        <w:pStyle w:val="Normal"/>
        <w:spacing w:lineRule="auto" w:line="240" w:before="0" w:after="0"/>
        <w:ind w:hanging="0" w:left="0" w:right="0"/>
        <w:jc w:val="center"/>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jc w:val="center"/>
        <w:rPr>
          <w:highlight w:val="none"/>
          <w:shd w:fill="auto" w:val="clear"/>
        </w:rPr>
      </w:pPr>
      <w:r>
        <w:rPr>
          <w:rFonts w:cs="Arial" w:ascii="URW Bookman" w:hAnsi="URW Bookman"/>
          <w:color w:val="000000"/>
          <w:sz w:val="16"/>
          <w:szCs w:val="16"/>
          <w:shd w:fill="auto" w:val="clear"/>
        </w:rPr>
        <w:t>I. Monthly - Trade in Goods, Tourism &amp; Technologies;</w:t>
      </w:r>
    </w:p>
    <w:p>
      <w:pPr>
        <w:pStyle w:val="Normal"/>
        <w:spacing w:lineRule="auto" w:line="240" w:before="0" w:after="0"/>
        <w:ind w:hanging="0" w:left="0" w:right="0"/>
        <w:jc w:val="center"/>
        <w:rPr>
          <w:rFonts w:ascii="URW Bookman" w:hAnsi="URW Bookman" w:cs="Arial"/>
          <w:i/>
          <w:i/>
          <w:color w:val="000000"/>
          <w:sz w:val="16"/>
          <w:szCs w:val="16"/>
          <w:highlight w:val="none"/>
          <w:shd w:fill="auto" w:val="clear"/>
        </w:rPr>
      </w:pPr>
      <w:r>
        <w:rPr>
          <w:rFonts w:cs="Arial" w:ascii="URW Bookman" w:hAnsi="URW Bookman"/>
          <w:i/>
          <w:color w:val="000000"/>
          <w:sz w:val="16"/>
          <w:szCs w:val="16"/>
          <w:shd w:fill="auto" w:val="clear"/>
        </w:rPr>
      </w:r>
    </w:p>
    <w:p>
      <w:pPr>
        <w:pStyle w:val="Normal"/>
        <w:numPr>
          <w:ilvl w:val="0"/>
          <w:numId w:val="0"/>
        </w:numPr>
        <w:spacing w:lineRule="auto" w:line="240" w:before="0" w:after="0"/>
        <w:ind w:hanging="0" w:left="0" w:right="0"/>
        <w:jc w:val="both"/>
        <w:outlineLvl w:val="0"/>
        <w:rPr>
          <w:highlight w:val="none"/>
          <w:shd w:fill="auto" w:val="clear"/>
        </w:rPr>
      </w:pPr>
      <w:r>
        <w:rPr>
          <w:rFonts w:cs="Arial" w:ascii="URW Bookman" w:hAnsi="URW Bookman"/>
          <w:b/>
          <w:color w:val="000000"/>
          <w:sz w:val="16"/>
          <w:szCs w:val="16"/>
          <w:shd w:fill="auto" w:val="clear"/>
        </w:rPr>
        <w:t>Name of the Mission (Country) :</w:t>
        <w:tab/>
        <w:t>MOSCOW (RUSSIA)</w:t>
      </w:r>
    </w:p>
    <w:p>
      <w:pPr>
        <w:pStyle w:val="Normal"/>
        <w:spacing w:lineRule="auto" w:line="240" w:before="0" w:after="0"/>
        <w:ind w:hanging="0" w:left="0" w:right="0"/>
        <w:jc w:val="both"/>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8"/>
        </w:numPr>
        <w:spacing w:lineRule="auto" w:line="240" w:before="0" w:after="0"/>
        <w:ind w:hanging="0" w:left="0" w:right="0"/>
        <w:jc w:val="center"/>
        <w:rPr>
          <w:highlight w:val="none"/>
          <w:shd w:fill="auto" w:val="clear"/>
        </w:rPr>
      </w:pPr>
      <w:r>
        <w:rPr>
          <w:rFonts w:cs="Arial" w:ascii="URW Bookman" w:hAnsi="URW Bookman"/>
          <w:b/>
          <w:color w:val="000000"/>
          <w:sz w:val="16"/>
          <w:szCs w:val="16"/>
          <w:u w:val="single"/>
          <w:shd w:fill="auto" w:val="clear"/>
        </w:rPr>
        <w:t>MONTHLY REPORT</w:t>
      </w:r>
    </w:p>
    <w:p>
      <w:pPr>
        <w:pStyle w:val="Normal"/>
        <w:spacing w:lineRule="auto" w:line="240" w:before="0" w:after="0"/>
        <w:ind w:hanging="0" w:left="0" w:right="0"/>
        <w:jc w:val="center"/>
        <w:rPr>
          <w:rFonts w:ascii="URW Bookman" w:hAnsi="URW Bookman" w:cs="Arial"/>
          <w:b/>
          <w:color w:val="000000"/>
          <w:sz w:val="16"/>
          <w:szCs w:val="16"/>
          <w:highlight w:val="none"/>
          <w:u w:val="single"/>
          <w:shd w:fill="auto" w:val="clear"/>
        </w:rPr>
      </w:pPr>
      <w:r>
        <w:rPr>
          <w:rFonts w:cs="Arial" w:ascii="URW Bookman" w:hAnsi="URW Bookman"/>
          <w:b/>
          <w:color w:val="000000"/>
          <w:sz w:val="16"/>
          <w:szCs w:val="16"/>
          <w:u w:val="single"/>
          <w:shd w:fill="auto" w:val="clear"/>
        </w:rPr>
      </w:r>
    </w:p>
    <w:p>
      <w:pPr>
        <w:pStyle w:val="Normal"/>
        <w:spacing w:lineRule="auto" w:line="240" w:before="0" w:after="0"/>
        <w:ind w:hanging="0" w:left="0" w:right="0"/>
        <w:rPr>
          <w:highlight w:val="none"/>
          <w:shd w:fill="auto" w:val="clear"/>
        </w:rPr>
      </w:pPr>
      <w:r>
        <w:rPr>
          <w:rFonts w:cs="Arial" w:ascii="URW Bookman" w:hAnsi="URW Bookman"/>
          <w:b/>
          <w:color w:val="000000"/>
          <w:sz w:val="16"/>
          <w:szCs w:val="16"/>
          <w:u w:val="single"/>
          <w:shd w:fill="auto" w:val="clear"/>
        </w:rPr>
        <w:t xml:space="preserve">A. Market Access Alerts </w:t>
      </w:r>
      <w:r>
        <w:rPr>
          <w:rFonts w:cs="Arial" w:ascii="URW Bookman" w:hAnsi="URW Bookman"/>
          <w:color w:val="000000"/>
          <w:sz w:val="16"/>
          <w:szCs w:val="16"/>
          <w:shd w:fill="auto" w:val="clear"/>
        </w:rPr>
        <w:t xml:space="preserve">Select : </w:t>
      </w:r>
      <w:r>
        <w:rPr>
          <w:rFonts w:cs="Arial" w:ascii="URW Bookman" w:hAnsi="URW Bookman"/>
          <w:b/>
          <w:bCs/>
          <w:color w:val="000000"/>
          <w:sz w:val="16"/>
          <w:szCs w:val="16"/>
          <w:shd w:fill="auto" w:val="clear"/>
        </w:rPr>
        <w:t>June</w:t>
      </w:r>
      <w:r>
        <w:rPr>
          <w:rFonts w:eastAsia="Calibri" w:cs="Arial" w:ascii="URW Bookman" w:hAnsi="URW Bookman"/>
          <w:b/>
          <w:bCs/>
          <w:color w:val="000000"/>
          <w:kern w:val="0"/>
          <w:sz w:val="16"/>
          <w:szCs w:val="16"/>
          <w:shd w:fill="auto" w:val="clear"/>
          <w:lang w:val="en-US" w:eastAsia="en-US" w:bidi="ar-SA"/>
        </w:rPr>
        <w:t xml:space="preserve"> 2026</w:t>
      </w:r>
    </w:p>
    <w:p>
      <w:pPr>
        <w:pStyle w:val="Normal"/>
        <w:widowControl/>
        <w:suppressAutoHyphens w:val="true"/>
        <w:overflowPunct w:val="true"/>
        <w:bidi w:val="0"/>
        <w:spacing w:lineRule="auto" w:line="240" w:before="0" w:after="0"/>
        <w:ind w:hanging="0" w:left="0" w:right="0"/>
        <w:jc w:val="left"/>
        <w:rPr>
          <w:rFonts w:ascii="URW Bookman" w:hAnsi="URW Bookman" w:cs="Arial"/>
          <w:b/>
          <w:color w:val="000000"/>
          <w:sz w:val="16"/>
          <w:szCs w:val="16"/>
          <w:highlight w:val="none"/>
          <w:u w:val="single"/>
          <w:shd w:fill="auto" w:val="clear"/>
        </w:rPr>
      </w:pPr>
      <w:r>
        <w:rPr>
          <w:rFonts w:cs="Arial" w:ascii="URW Bookman" w:hAnsi="URW Bookman"/>
          <w:b/>
          <w:color w:val="000000"/>
          <w:sz w:val="16"/>
          <w:szCs w:val="16"/>
          <w:u w:val="single"/>
          <w:shd w:fill="auto" w:val="clear"/>
        </w:rPr>
      </w:r>
    </w:p>
    <w:p>
      <w:pPr>
        <w:pStyle w:val="Normal"/>
        <w:numPr>
          <w:ilvl w:val="0"/>
          <w:numId w:val="0"/>
        </w:numPr>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a. Alerts on customs tariff changes: -</w:t>
      </w:r>
    </w:p>
    <w:p>
      <w:pPr>
        <w:pStyle w:val="Normal"/>
        <w:spacing w:lineRule="auto" w:line="240" w:before="0" w:after="0"/>
        <w:ind w:hanging="0" w:left="0" w:right="0"/>
        <w:jc w:val="both"/>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10192" w:type="dxa"/>
        <w:jc w:val="left"/>
        <w:tblInd w:w="108" w:type="dxa"/>
        <w:tblLayout w:type="fixed"/>
        <w:tblCellMar>
          <w:top w:w="0" w:type="dxa"/>
          <w:left w:w="108" w:type="dxa"/>
          <w:bottom w:w="0" w:type="dxa"/>
          <w:right w:w="108" w:type="dxa"/>
        </w:tblCellMar>
      </w:tblPr>
      <w:tblGrid>
        <w:gridCol w:w="450"/>
        <w:gridCol w:w="2336"/>
        <w:gridCol w:w="1175"/>
        <w:gridCol w:w="1535"/>
        <w:gridCol w:w="1000"/>
        <w:gridCol w:w="1001"/>
        <w:gridCol w:w="1067"/>
        <w:gridCol w:w="972"/>
        <w:gridCol w:w="656"/>
      </w:tblGrid>
      <w:tr>
        <w:trPr>
          <w:trHeight w:val="750" w:hRule="atLeast"/>
        </w:trPr>
        <w:tc>
          <w:tcPr>
            <w:tcW w:w="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S. No.</w:t>
            </w:r>
          </w:p>
        </w:tc>
        <w:tc>
          <w:tcPr>
            <w:tcW w:w="2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Notification no. and Date</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HS Code</w:t>
            </w:r>
          </w:p>
        </w:tc>
        <w:tc>
          <w:tcPr>
            <w:tcW w:w="15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Description</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Original Customs Tariff</w:t>
            </w:r>
          </w:p>
        </w:tc>
        <w:tc>
          <w:tcPr>
            <w:tcW w:w="10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Present Customs Tariff</w:t>
            </w:r>
          </w:p>
        </w:tc>
        <w:tc>
          <w:tcPr>
            <w:tcW w:w="10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Effective from</w:t>
            </w:r>
          </w:p>
        </w:tc>
        <w:tc>
          <w:tcPr>
            <w:tcW w:w="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Remarks if any</w:t>
            </w:r>
          </w:p>
        </w:tc>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2"/>
                <w:szCs w:val="12"/>
                <w:shd w:fill="auto" w:val="clear"/>
              </w:rPr>
              <w:t>Upload notification (pdf only)</w:t>
            </w:r>
          </w:p>
        </w:tc>
      </w:tr>
      <w:tr>
        <w:trPr>
          <w:trHeight w:val="245" w:hRule="atLeast"/>
        </w:trPr>
        <w:tc>
          <w:tcPr>
            <w:tcW w:w="450" w:type="dxa"/>
            <w:tcBorders>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c>
          <w:tcPr>
            <w:tcW w:w="23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Press release by Ministry of Economic Development of Russia</w:t>
            </w:r>
          </w:p>
        </w:tc>
        <w:tc>
          <w:tcPr>
            <w:tcW w:w="117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271112</w:t>
            </w:r>
          </w:p>
        </w:tc>
        <w:tc>
          <w:tcPr>
            <w:tcW w:w="153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liquefied hydrocarbon gases (export duty)</w:t>
            </w:r>
          </w:p>
        </w:tc>
        <w:tc>
          <w:tcPr>
            <w:tcW w:w="100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131,6</w:t>
            </w:r>
          </w:p>
        </w:tc>
        <w:tc>
          <w:tcPr>
            <w:tcW w:w="100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130.2</w:t>
            </w:r>
          </w:p>
        </w:tc>
        <w:tc>
          <w:tcPr>
            <w:tcW w:w="10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01/06/2026 -30/06/2026</w:t>
            </w:r>
          </w:p>
        </w:tc>
        <w:tc>
          <w:tcPr>
            <w:tcW w:w="9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USD per 1000 kg</w:t>
            </w:r>
          </w:p>
        </w:tc>
        <w:tc>
          <w:tcPr>
            <w:tcW w:w="6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r>
      <w:tr>
        <w:trPr>
          <w:trHeight w:val="245" w:hRule="atLeast"/>
        </w:trPr>
        <w:tc>
          <w:tcPr>
            <w:tcW w:w="450" w:type="dxa"/>
            <w:tcBorders>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c>
          <w:tcPr>
            <w:tcW w:w="23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Press release by Ministry of Economic Development of Russia</w:t>
            </w:r>
          </w:p>
        </w:tc>
        <w:tc>
          <w:tcPr>
            <w:tcW w:w="117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271012</w:t>
            </w:r>
          </w:p>
        </w:tc>
        <w:tc>
          <w:tcPr>
            <w:tcW w:w="153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oil and other goods produced from oil (export duty)</w:t>
            </w:r>
          </w:p>
        </w:tc>
        <w:tc>
          <w:tcPr>
            <w:tcW w:w="100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w:t>
            </w:r>
          </w:p>
        </w:tc>
        <w:tc>
          <w:tcPr>
            <w:tcW w:w="100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w:t>
            </w:r>
          </w:p>
        </w:tc>
        <w:tc>
          <w:tcPr>
            <w:tcW w:w="10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01/06/2026 -30/06/2026</w:t>
            </w:r>
          </w:p>
        </w:tc>
        <w:tc>
          <w:tcPr>
            <w:tcW w:w="9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USD per 1000 kg</w:t>
            </w:r>
          </w:p>
        </w:tc>
        <w:tc>
          <w:tcPr>
            <w:tcW w:w="6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r>
      <w:tr>
        <w:trPr>
          <w:trHeight w:val="471" w:hRule="atLeast"/>
        </w:trPr>
        <w:tc>
          <w:tcPr>
            <w:tcW w:w="450" w:type="dxa"/>
            <w:tcBorders>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c>
          <w:tcPr>
            <w:tcW w:w="23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Press release by Ministry of Economic Development of Russia</w:t>
            </w:r>
          </w:p>
        </w:tc>
        <w:tc>
          <w:tcPr>
            <w:tcW w:w="117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290110</w:t>
            </w:r>
          </w:p>
        </w:tc>
        <w:tc>
          <w:tcPr>
            <w:tcW w:w="153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ethane</w:t>
            </w:r>
          </w:p>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butane</w:t>
            </w:r>
          </w:p>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isobutane (export duty)</w:t>
            </w:r>
          </w:p>
        </w:tc>
        <w:tc>
          <w:tcPr>
            <w:tcW w:w="100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118,4</w:t>
            </w:r>
          </w:p>
        </w:tc>
        <w:tc>
          <w:tcPr>
            <w:tcW w:w="100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117.1</w:t>
            </w:r>
          </w:p>
        </w:tc>
        <w:tc>
          <w:tcPr>
            <w:tcW w:w="10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01/06/2026 -30/06/2026</w:t>
            </w:r>
          </w:p>
        </w:tc>
        <w:tc>
          <w:tcPr>
            <w:tcW w:w="9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USD per 1000 kg</w:t>
            </w:r>
          </w:p>
        </w:tc>
        <w:tc>
          <w:tcPr>
            <w:tcW w:w="6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r>
      <w:tr>
        <w:trPr>
          <w:trHeight w:val="471" w:hRule="atLeast"/>
        </w:trPr>
        <w:tc>
          <w:tcPr>
            <w:tcW w:w="45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r>
          </w:p>
        </w:tc>
        <w:tc>
          <w:tcPr>
            <w:tcW w:w="23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Decision of Russian Government 10.06.2026 No 719</w:t>
            </w:r>
          </w:p>
        </w:tc>
        <w:tc>
          <w:tcPr>
            <w:tcW w:w="117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0709 30 000 0</w:t>
            </w:r>
          </w:p>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0709 60 100 1</w:t>
            </w:r>
          </w:p>
        </w:tc>
        <w:tc>
          <w:tcPr>
            <w:tcW w:w="153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ascii="URW Bookman" w:hAnsi="URW Bookman"/>
                <w:b w:val="false"/>
                <w:bCs w:val="false"/>
                <w:i w:val="false"/>
                <w:iCs w:val="false"/>
                <w:strike w:val="false"/>
                <w:dstrike w:val="false"/>
                <w:outline w:val="false"/>
                <w:shadow w:val="false"/>
                <w:color w:val="000000"/>
                <w:sz w:val="12"/>
                <w:szCs w:val="12"/>
                <w:u w:val="none"/>
                <w:shd w:fill="auto" w:val="clear"/>
              </w:rPr>
              <w:t>Exemption from import customs duty is no more applied for:</w:t>
            </w:r>
          </w:p>
          <w:p>
            <w:pPr>
              <w:pStyle w:val="Normal"/>
              <w:widowControl w:val="false"/>
              <w:spacing w:lineRule="auto" w:line="240" w:before="0" w:after="0"/>
              <w:ind w:hanging="0" w:left="0" w:right="0"/>
              <w:jc w:val="left"/>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r>
          </w:p>
          <w:p>
            <w:pPr>
              <w:pStyle w:val="Normal"/>
              <w:widowControl w:val="false"/>
              <w:spacing w:lineRule="auto" w:line="240" w:before="0" w:after="0"/>
              <w:ind w:hanging="0" w:left="0" w:right="0"/>
              <w:jc w:val="left"/>
              <w:rPr/>
            </w:pPr>
            <w:r>
              <w:rPr>
                <w:rFonts w:ascii="URW Bookman" w:hAnsi="URW Bookman"/>
                <w:b w:val="false"/>
                <w:bCs w:val="false"/>
                <w:i w:val="false"/>
                <w:iCs w:val="false"/>
                <w:strike w:val="false"/>
                <w:dstrike w:val="false"/>
                <w:outline w:val="false"/>
                <w:shadow w:val="false"/>
                <w:color w:val="000000"/>
                <w:sz w:val="12"/>
                <w:szCs w:val="12"/>
                <w:u w:val="none"/>
                <w:shd w:fill="auto" w:val="clear"/>
              </w:rPr>
              <w:t>Eggplants (badrijans), imported into the Russian Federation in a volume of no more than 6.6 thousand tons, and sweet capsicums, imported into the Russian Federation in a volume of no more than 27 thousand tons, were exempt from import customs duties.</w:t>
            </w:r>
          </w:p>
        </w:tc>
        <w:tc>
          <w:tcPr>
            <w:tcW w:w="100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0</w:t>
            </w:r>
          </w:p>
        </w:tc>
        <w:tc>
          <w:tcPr>
            <w:tcW w:w="100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10</w:t>
            </w:r>
          </w:p>
        </w:tc>
        <w:tc>
          <w:tcPr>
            <w:tcW w:w="10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15/06/2026</w:t>
            </w:r>
          </w:p>
        </w:tc>
        <w:tc>
          <w:tcPr>
            <w:tcW w:w="9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t>%</w:t>
            </w:r>
          </w:p>
        </w:tc>
        <w:tc>
          <w:tcPr>
            <w:tcW w:w="6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b w:val="false"/>
                <w:bCs w:val="false"/>
                <w:i w:val="false"/>
                <w:i w:val="false"/>
                <w:iCs w:val="false"/>
                <w:strike w:val="false"/>
                <w:dstrike w:val="false"/>
                <w:outline w:val="false"/>
                <w:shadow w:val="false"/>
                <w:color w:val="000000"/>
                <w:sz w:val="12"/>
                <w:szCs w:val="12"/>
                <w:u w:val="none"/>
                <w:shd w:fill="auto" w:val="clear"/>
              </w:rPr>
            </w:pPr>
            <w:r>
              <w:rPr>
                <w:rFonts w:ascii="URW Bookman" w:hAnsi="URW Bookman"/>
                <w:b w:val="false"/>
                <w:bCs w:val="false"/>
                <w:i w:val="false"/>
                <w:iCs w:val="false"/>
                <w:strike w:val="false"/>
                <w:dstrike w:val="false"/>
                <w:outline w:val="false"/>
                <w:shadow w:val="false"/>
                <w:color w:val="000000"/>
                <w:sz w:val="12"/>
                <w:szCs w:val="12"/>
                <w:u w:val="none"/>
                <w:shd w:fill="auto" w:val="clear"/>
              </w:rPr>
            </w:r>
          </w:p>
        </w:tc>
      </w:tr>
      <w:tr>
        <w:trPr>
          <w:trHeight w:val="245" w:hRule="atLeast"/>
        </w:trPr>
        <w:tc>
          <w:tcPr>
            <w:tcW w:w="450" w:type="dxa"/>
            <w:tcBorders>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c>
          <w:tcPr>
            <w:tcW w:w="23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Press release by the Ministry of Agriculture of 25/05/2026</w:t>
            </w:r>
          </w:p>
        </w:tc>
        <w:tc>
          <w:tcPr>
            <w:tcW w:w="117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230630</w:t>
            </w:r>
          </w:p>
        </w:tc>
        <w:tc>
          <w:tcPr>
            <w:tcW w:w="153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Russia has extended zero export custom duties for sunflower meal.</w:t>
            </w:r>
          </w:p>
        </w:tc>
        <w:tc>
          <w:tcPr>
            <w:tcW w:w="100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w:t>
            </w:r>
          </w:p>
        </w:tc>
        <w:tc>
          <w:tcPr>
            <w:tcW w:w="100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w:t>
            </w:r>
          </w:p>
        </w:tc>
        <w:tc>
          <w:tcPr>
            <w:tcW w:w="10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01/06/2026</w:t>
            </w:r>
          </w:p>
        </w:tc>
        <w:tc>
          <w:tcPr>
            <w:tcW w:w="9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Rubles/MT</w:t>
            </w:r>
          </w:p>
        </w:tc>
        <w:tc>
          <w:tcPr>
            <w:tcW w:w="6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r>
      <w:tr>
        <w:trPr>
          <w:trHeight w:val="245" w:hRule="atLeast"/>
        </w:trPr>
        <w:tc>
          <w:tcPr>
            <w:tcW w:w="450" w:type="dxa"/>
            <w:tcBorders>
              <w:left w:val="single" w:sz="4" w:space="0" w:color="000000"/>
              <w:bottom w:val="single" w:sz="4" w:space="0" w:color="000000"/>
              <w:right w:val="single" w:sz="4" w:space="0" w:color="000000"/>
            </w:tcBorders>
          </w:tcPr>
          <w:p>
            <w:pPr>
              <w:pStyle w:val="Normal"/>
              <w:widowControl w:val="false"/>
              <w:numPr>
                <w:ilvl w:val="0"/>
                <w:numId w:val="1"/>
              </w:numPr>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c>
          <w:tcPr>
            <w:tcW w:w="23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Press release by the Ministry of Agriculture of 25/05/2026</w:t>
            </w:r>
          </w:p>
        </w:tc>
        <w:tc>
          <w:tcPr>
            <w:tcW w:w="117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230630</w:t>
            </w:r>
          </w:p>
        </w:tc>
        <w:tc>
          <w:tcPr>
            <w:tcW w:w="153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Russia has increased custom duties for sunflower oil.</w:t>
            </w:r>
          </w:p>
        </w:tc>
        <w:tc>
          <w:tcPr>
            <w:tcW w:w="100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caps w:val="false"/>
                <w:smallCaps w:val="false"/>
                <w:strike w:val="false"/>
                <w:dstrike w:val="false"/>
                <w:outline w:val="false"/>
                <w:shadow w:val="false"/>
                <w:color w:val="000000"/>
                <w:spacing w:val="0"/>
                <w:kern w:val="0"/>
                <w:sz w:val="12"/>
                <w:szCs w:val="12"/>
                <w:u w:val="none"/>
                <w:shd w:fill="auto" w:val="clear"/>
                <w:lang w:val="en-US" w:eastAsia="en-US" w:bidi="ar-SA"/>
              </w:rPr>
              <w:t xml:space="preserve"> </w:t>
            </w:r>
            <w:r>
              <w:rPr>
                <w:rFonts w:eastAsia="Calibri" w:cs="Times New Roman" w:ascii="URW Bookman" w:hAnsi="URW Bookman"/>
                <w:b w:val="false"/>
                <w:bCs w:val="false"/>
                <w:i w:val="false"/>
                <w:iCs w:val="false"/>
                <w:caps w:val="false"/>
                <w:smallCaps w:val="false"/>
                <w:strike w:val="false"/>
                <w:dstrike w:val="false"/>
                <w:outline w:val="false"/>
                <w:shadow w:val="false"/>
                <w:color w:val="000000"/>
                <w:spacing w:val="0"/>
                <w:kern w:val="0"/>
                <w:sz w:val="12"/>
                <w:szCs w:val="12"/>
                <w:u w:val="none"/>
                <w:shd w:fill="auto" w:val="clear"/>
                <w:lang w:val="en-US" w:eastAsia="en-US" w:bidi="ar-SA"/>
              </w:rPr>
              <w:t>4 650,0</w:t>
            </w:r>
          </w:p>
        </w:tc>
        <w:tc>
          <w:tcPr>
            <w:tcW w:w="100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caps w:val="false"/>
                <w:smallCaps w:val="false"/>
                <w:strike w:val="false"/>
                <w:dstrike w:val="false"/>
                <w:outline w:val="false"/>
                <w:shadow w:val="false"/>
                <w:color w:val="000000"/>
                <w:spacing w:val="0"/>
                <w:kern w:val="0"/>
                <w:sz w:val="12"/>
                <w:szCs w:val="12"/>
                <w:u w:val="none"/>
                <w:shd w:fill="auto" w:val="clear"/>
                <w:lang w:val="en-US" w:eastAsia="en-US" w:bidi="ar-SA"/>
              </w:rPr>
              <w:t>1 337.5</w:t>
            </w:r>
          </w:p>
        </w:tc>
        <w:tc>
          <w:tcPr>
            <w:tcW w:w="10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01/06/2026</w:t>
            </w:r>
          </w:p>
        </w:tc>
        <w:tc>
          <w:tcPr>
            <w:tcW w:w="9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t>Rubles/MT</w:t>
            </w:r>
          </w:p>
        </w:tc>
        <w:tc>
          <w:tcPr>
            <w:tcW w:w="6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URW Bookman" w:hAnsi="URW Bookman" w:eastAsia="Calibri" w:cs="Times New Roman"/>
                <w:b w:val="false"/>
                <w:bCs w:val="false"/>
                <w:i w:val="false"/>
                <w:i w:val="false"/>
                <w:iCs w:val="false"/>
                <w:strike w:val="false"/>
                <w:dstrike w:val="false"/>
                <w:outline w:val="false"/>
                <w:shadow w:val="false"/>
                <w:color w:val="000000"/>
                <w:kern w:val="0"/>
                <w:sz w:val="12"/>
                <w:szCs w:val="12"/>
                <w:highlight w:val="none"/>
                <w:u w:val="none"/>
                <w:shd w:fill="auto" w:val="clear"/>
                <w:lang w:val="en-US" w:eastAsia="en-US" w:bidi="ar-SA"/>
              </w:rPr>
            </w:pPr>
            <w:r>
              <w:rPr>
                <w:rFonts w:eastAsia="Calibri" w:cs="Times New Roman" w:ascii="URW Bookman" w:hAnsi="URW Bookman"/>
                <w:b w:val="false"/>
                <w:bCs w:val="false"/>
                <w:i w:val="false"/>
                <w:iCs w:val="false"/>
                <w:strike w:val="false"/>
                <w:dstrike w:val="false"/>
                <w:outline w:val="false"/>
                <w:shadow w:val="false"/>
                <w:color w:val="000000"/>
                <w:kern w:val="0"/>
                <w:sz w:val="12"/>
                <w:szCs w:val="12"/>
                <w:u w:val="none"/>
                <w:shd w:fill="auto" w:val="clear"/>
                <w:lang w:val="en-US" w:eastAsia="en-US" w:bidi="ar-SA"/>
              </w:rPr>
            </w:r>
          </w:p>
        </w:tc>
      </w:tr>
    </w:tbl>
    <w:p>
      <w:pPr>
        <w:pStyle w:val="Normal"/>
        <w:spacing w:lineRule="auto" w:line="240" w:before="0" w:after="0"/>
        <w:ind w:hanging="0" w:left="0" w:right="0"/>
        <w:rPr>
          <w:highlight w:val="none"/>
          <w:shd w:fill="auto" w:val="clear"/>
        </w:rPr>
      </w:pPr>
      <w:r>
        <w:rPr>
          <w:rFonts w:cs="Arial" w:ascii="URW Bookman" w:hAnsi="URW Bookman"/>
          <w:color w:val="000000"/>
          <w:sz w:val="16"/>
          <w:szCs w:val="16"/>
          <w:shd w:fill="auto" w:val="clear"/>
        </w:rPr>
        <w:tab/>
        <w:tab/>
        <w:t xml:space="preserve"> </w:t>
      </w:r>
    </w:p>
    <w:tbl>
      <w:tblPr>
        <w:tblW w:w="9000" w:type="dxa"/>
        <w:jc w:val="left"/>
        <w:tblInd w:w="1116" w:type="dxa"/>
        <w:tblLayout w:type="fixed"/>
        <w:tblCellMar>
          <w:top w:w="0" w:type="dxa"/>
          <w:left w:w="108" w:type="dxa"/>
          <w:bottom w:w="0" w:type="dxa"/>
          <w:right w:w="108" w:type="dxa"/>
        </w:tblCellMar>
      </w:tblPr>
      <w:tblGrid>
        <w:gridCol w:w="1980"/>
        <w:gridCol w:w="7020"/>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pPr>
            <w:r>
              <w:rPr>
                <w:rFonts w:cs="Arial" w:ascii="URW Bookman" w:hAnsi="URW Bookman"/>
                <w:color w:val="000000"/>
                <w:kern w:val="0"/>
                <w:sz w:val="16"/>
                <w:szCs w:val="16"/>
                <w:u w:val="none"/>
                <w:shd w:fill="auto" w:val="clear"/>
                <w:lang w:eastAsia="en-US" w:bidi="ar-SA"/>
              </w:rPr>
              <w:t>“</w:t>
            </w:r>
            <w:r>
              <w:rPr>
                <w:rFonts w:cs="Arial" w:ascii="URW Bookman" w:hAnsi="URW Bookman"/>
                <w:color w:val="000000"/>
                <w:kern w:val="0"/>
                <w:sz w:val="16"/>
                <w:szCs w:val="16"/>
                <w:u w:val="none"/>
                <w:shd w:fill="auto" w:val="clear"/>
                <w:lang w:eastAsia="en-US" w:bidi="ar-SA"/>
              </w:rPr>
              <w:t xml:space="preserve">Consultant” </w:t>
            </w:r>
            <w:r>
              <w:rPr>
                <w:rStyle w:val="Hyperlink"/>
                <w:rFonts w:cs="Arial" w:ascii="URW Bookman" w:hAnsi="URW Bookman"/>
                <w:color w:val="000000"/>
                <w:kern w:val="0"/>
                <w:sz w:val="16"/>
                <w:szCs w:val="16"/>
                <w:u w:val="none"/>
                <w:shd w:fill="auto" w:val="clear"/>
                <w:lang w:eastAsia="en-US" w:bidi="ar-SA"/>
              </w:rPr>
              <w:t>database</w:t>
            </w:r>
          </w:p>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u w:val="none"/>
                <w:shd w:fill="auto" w:val="clear"/>
                <w:lang w:eastAsia="en-US" w:bidi="ar-SA"/>
              </w:rPr>
              <w:t>https://www.consultant.ru/document/cons_doc_LAW_493607/</w:t>
            </w:r>
          </w:p>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u w:val="none"/>
                <w:shd w:fill="auto" w:val="clear"/>
                <w:lang w:eastAsia="en-US" w:bidi="ar-SA"/>
              </w:rPr>
              <w:t>Ministry of Agriculture</w:t>
            </w:r>
          </w:p>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u w:val="none"/>
                <w:shd w:fill="auto" w:val="clear"/>
                <w:lang w:eastAsia="en-US" w:bidi="ar-SA"/>
              </w:rPr>
              <w:t>https://mcx.gov.ru/ministry/departments/departament-ekonomiki-investitsiy-i-regulirovaniya-rynkov/industry-information/info-shrot-podsolnechnyy/</w:t>
            </w:r>
          </w:p>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u w:val="none"/>
                <w:shd w:fill="auto" w:val="clear"/>
                <w:lang w:eastAsia="en-US" w:bidi="ar-SA"/>
              </w:rPr>
              <w:t>https://mcx.gov.ru/ministry/departments/departament-ekonomiki-investitsiy-i-regulirovaniya-rynkov/industry-information/info-maslo-podsolnechnoe4517/</w:t>
            </w:r>
          </w:p>
        </w:tc>
      </w:tr>
    </w:tbl>
    <w:p>
      <w:pPr>
        <w:pStyle w:val="Normal"/>
        <w:spacing w:lineRule="auto" w:line="240" w:before="0" w:after="0"/>
        <w:ind w:hanging="0" w:left="0" w:right="0"/>
        <w:rPr>
          <w:highlight w:val="none"/>
          <w:shd w:fill="auto" w:val="clear"/>
        </w:rPr>
      </w:pPr>
      <w:r>
        <w:rPr>
          <w:rFonts w:cs="Arial" w:ascii="URW Bookman" w:hAnsi="URW Bookman"/>
          <w:color w:val="000000"/>
          <w:sz w:val="16"/>
          <w:szCs w:val="16"/>
          <w:shd w:fill="auto" w:val="clear"/>
        </w:rPr>
        <w:tab/>
        <w:tab/>
      </w:r>
    </w:p>
    <w:p>
      <w:pPr>
        <w:pStyle w:val="Normal"/>
        <w:numPr>
          <w:ilvl w:val="0"/>
          <w:numId w:val="0"/>
        </w:numPr>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b. Alerts on non-tariff measures (SPS/TBT/ import and export procedures/ restrictions/ prohibitions, licensing/ STEs etc.)</w:t>
      </w:r>
    </w:p>
    <w:tbl>
      <w:tblPr>
        <w:tblW w:w="10030" w:type="dxa"/>
        <w:jc w:val="left"/>
        <w:tblInd w:w="116" w:type="dxa"/>
        <w:tblLayout w:type="fixed"/>
        <w:tblCellMar>
          <w:top w:w="0" w:type="dxa"/>
          <w:left w:w="108" w:type="dxa"/>
          <w:bottom w:w="0" w:type="dxa"/>
          <w:right w:w="108" w:type="dxa"/>
        </w:tblCellMar>
      </w:tblPr>
      <w:tblGrid>
        <w:gridCol w:w="593"/>
        <w:gridCol w:w="1580"/>
        <w:gridCol w:w="4597"/>
        <w:gridCol w:w="892"/>
        <w:gridCol w:w="1532"/>
        <w:gridCol w:w="836"/>
      </w:tblGrid>
      <w:tr>
        <w:trPr>
          <w:trHeight w:val="454" w:hRule="atLeast"/>
        </w:trPr>
        <w:tc>
          <w:tcPr>
            <w:tcW w:w="5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 No</w:t>
            </w:r>
          </w:p>
        </w:tc>
        <w:tc>
          <w:tcPr>
            <w:tcW w:w="15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Notification no./ date</w:t>
            </w:r>
          </w:p>
        </w:tc>
        <w:tc>
          <w:tcPr>
            <w:tcW w:w="4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Measure</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HS Codes</w:t>
            </w:r>
          </w:p>
        </w:tc>
        <w:tc>
          <w:tcPr>
            <w:tcW w:w="15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Effective from</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Remarks if any</w:t>
            </w:r>
          </w:p>
        </w:tc>
      </w:tr>
      <w:tr>
        <w:trPr>
          <w:trHeight w:val="454" w:hRule="atLeast"/>
        </w:trPr>
        <w:tc>
          <w:tcPr>
            <w:tcW w:w="59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t>1</w:t>
            </w:r>
          </w:p>
        </w:tc>
        <w:tc>
          <w:tcPr>
            <w:tcW w:w="158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t>№</w:t>
            </w:r>
            <w:r>
              <w:rPr>
                <w:rFonts w:cs="Arial" w:ascii="URW Bookman" w:hAnsi="URW Bookman"/>
                <w:b w:val="false"/>
                <w:bCs w:val="false"/>
                <w:color w:val="000000"/>
                <w:sz w:val="16"/>
                <w:szCs w:val="16"/>
                <w:u w:val="none"/>
                <w:shd w:fill="auto" w:val="clear"/>
              </w:rPr>
              <w:t>FS-KS-7/11429 of 11.06.2026</w:t>
            </w:r>
          </w:p>
        </w:tc>
        <w:tc>
          <w:tcPr>
            <w:tcW w:w="459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t>FSVPS extended for 4 months the regime of strengthened laboratory control in relation to products of the following Indian suppliers:</w:t>
            </w:r>
          </w:p>
          <w:p>
            <w:pPr>
              <w:pStyle w:val="Heading4"/>
              <w:widowControl w:val="false"/>
              <w:spacing w:lineRule="auto" w:line="240" w:before="0" w:after="0"/>
              <w:ind w:hanging="0" w:left="0" w:right="0"/>
              <w:rPr>
                <w:rFonts w:ascii="Roboto;sans-serif" w:hAnsi="Roboto;sans-serif" w:eastAsia="Calibri" w:cs="Arial"/>
                <w:b w:val="false"/>
                <w:bCs w:val="false"/>
                <w:i w:val="false"/>
                <w:i w:val="false"/>
                <w:caps w:val="false"/>
                <w:smallCaps w:val="false"/>
                <w:color w:val="212121"/>
                <w:spacing w:val="0"/>
                <w:sz w:val="16"/>
                <w:szCs w:val="16"/>
                <w:u w:val="none"/>
                <w:shd w:fill="auto" w:val="clear"/>
              </w:rPr>
            </w:pPr>
            <w:r>
              <w:rPr>
                <w:rFonts w:eastAsia="Calibri" w:cs="Arial" w:ascii="Roboto;sans-serif" w:hAnsi="Roboto;sans-serif"/>
                <w:b w:val="false"/>
                <w:bCs w:val="false"/>
                <w:i w:val="false"/>
                <w:caps w:val="false"/>
                <w:smallCaps w:val="false"/>
                <w:color w:val="212121"/>
                <w:spacing w:val="0"/>
                <w:sz w:val="16"/>
                <w:szCs w:val="16"/>
                <w:u w:val="none"/>
                <w:shd w:fill="auto" w:val="clear"/>
              </w:rPr>
              <w:t>Geo Seafood,</w:t>
            </w:r>
          </w:p>
          <w:p>
            <w:pPr>
              <w:pStyle w:val="Heading4"/>
              <w:widowControl w:val="false"/>
              <w:spacing w:lineRule="auto" w:line="240" w:before="0" w:after="0"/>
              <w:ind w:hanging="0" w:left="0" w:right="0"/>
              <w:rPr>
                <w:rFonts w:ascii="Roboto;sans-serif" w:hAnsi="Roboto;sans-serif" w:eastAsia="Calibri" w:cs="Arial"/>
                <w:b w:val="false"/>
                <w:bCs w:val="false"/>
                <w:i w:val="false"/>
                <w:i w:val="false"/>
                <w:caps w:val="false"/>
                <w:smallCaps w:val="false"/>
                <w:color w:val="212121"/>
                <w:spacing w:val="0"/>
                <w:sz w:val="16"/>
                <w:szCs w:val="16"/>
                <w:u w:val="none"/>
                <w:shd w:fill="auto" w:val="clear"/>
              </w:rPr>
            </w:pPr>
            <w:r>
              <w:rPr>
                <w:rFonts w:eastAsia="Calibri" w:cs="Arial" w:ascii="Roboto;sans-serif" w:hAnsi="Roboto;sans-serif"/>
                <w:b w:val="false"/>
                <w:bCs w:val="false"/>
                <w:i w:val="false"/>
                <w:caps w:val="false"/>
                <w:smallCaps w:val="false"/>
                <w:color w:val="212121"/>
                <w:spacing w:val="0"/>
                <w:sz w:val="16"/>
                <w:szCs w:val="16"/>
                <w:u w:val="none"/>
                <w:shd w:fill="auto" w:val="clear"/>
              </w:rPr>
              <w:t>Mangala Marine Exim India Pvt. Ltd.,</w:t>
            </w:r>
          </w:p>
          <w:p>
            <w:pPr>
              <w:pStyle w:val="Heading4"/>
              <w:widowControl w:val="false"/>
              <w:spacing w:lineRule="auto" w:line="240" w:before="0" w:after="0"/>
              <w:ind w:hanging="0" w:left="0" w:right="0"/>
              <w:rPr>
                <w:rFonts w:ascii="Roboto;sans-serif" w:hAnsi="Roboto;sans-serif" w:eastAsia="Calibri" w:cs="Arial"/>
                <w:b w:val="false"/>
                <w:bCs w:val="false"/>
                <w:i w:val="false"/>
                <w:i w:val="false"/>
                <w:caps w:val="false"/>
                <w:smallCaps w:val="false"/>
                <w:color w:val="212121"/>
                <w:spacing w:val="0"/>
                <w:sz w:val="16"/>
                <w:szCs w:val="16"/>
                <w:u w:val="none"/>
                <w:shd w:fill="auto" w:val="clear"/>
              </w:rPr>
            </w:pPr>
            <w:r>
              <w:rPr>
                <w:rFonts w:eastAsia="Calibri" w:cs="Arial" w:ascii="Roboto;sans-serif" w:hAnsi="Roboto;sans-serif"/>
                <w:b w:val="false"/>
                <w:bCs w:val="false"/>
                <w:i w:val="false"/>
                <w:caps w:val="false"/>
                <w:smallCaps w:val="false"/>
                <w:color w:val="212121"/>
                <w:spacing w:val="0"/>
                <w:sz w:val="16"/>
                <w:szCs w:val="16"/>
                <w:u w:val="none"/>
                <w:shd w:fill="auto" w:val="clear"/>
              </w:rPr>
              <w:t>Rabia Seafoods,</w:t>
            </w:r>
          </w:p>
          <w:p>
            <w:pPr>
              <w:pStyle w:val="Heading4"/>
              <w:widowControl w:val="false"/>
              <w:spacing w:lineRule="auto" w:line="240" w:before="0" w:after="0"/>
              <w:ind w:hanging="0" w:left="0" w:right="0"/>
              <w:rPr>
                <w:rFonts w:ascii="Roboto;sans-serif" w:hAnsi="Roboto;sans-serif" w:eastAsia="Calibri" w:cs="Arial"/>
                <w:b w:val="false"/>
                <w:bCs w:val="false"/>
                <w:i w:val="false"/>
                <w:i w:val="false"/>
                <w:caps w:val="false"/>
                <w:smallCaps w:val="false"/>
                <w:color w:val="212121"/>
                <w:spacing w:val="0"/>
                <w:sz w:val="16"/>
                <w:szCs w:val="16"/>
                <w:u w:val="none"/>
                <w:shd w:fill="auto" w:val="clear"/>
              </w:rPr>
            </w:pPr>
            <w:r>
              <w:rPr>
                <w:rFonts w:eastAsia="Calibri" w:cs="Arial" w:ascii="Roboto;sans-serif" w:hAnsi="Roboto;sans-serif"/>
                <w:b w:val="false"/>
                <w:bCs w:val="false"/>
                <w:i w:val="false"/>
                <w:caps w:val="false"/>
                <w:smallCaps w:val="false"/>
                <w:color w:val="212121"/>
                <w:spacing w:val="0"/>
                <w:sz w:val="16"/>
                <w:szCs w:val="16"/>
                <w:u w:val="none"/>
                <w:shd w:fill="auto" w:val="clear"/>
              </w:rPr>
              <w:t>Monsun Foods Pvt. Ltd.,</w:t>
            </w:r>
          </w:p>
          <w:p>
            <w:pPr>
              <w:pStyle w:val="Heading4"/>
              <w:widowControl w:val="false"/>
              <w:spacing w:lineRule="auto" w:line="240" w:before="0" w:after="0"/>
              <w:ind w:hanging="0" w:left="0" w:right="0"/>
              <w:rPr>
                <w:rFonts w:ascii="Roboto;sans-serif" w:hAnsi="Roboto;sans-serif" w:eastAsia="Calibri" w:cs="Arial"/>
                <w:b w:val="false"/>
                <w:bCs w:val="false"/>
                <w:i w:val="false"/>
                <w:i w:val="false"/>
                <w:caps w:val="false"/>
                <w:smallCaps w:val="false"/>
                <w:color w:val="212121"/>
                <w:spacing w:val="0"/>
                <w:sz w:val="16"/>
                <w:szCs w:val="16"/>
                <w:u w:val="none"/>
                <w:shd w:fill="auto" w:val="clear"/>
              </w:rPr>
            </w:pPr>
            <w:r>
              <w:rPr>
                <w:rFonts w:eastAsia="Calibri" w:cs="Arial" w:ascii="Roboto;sans-serif" w:hAnsi="Roboto;sans-serif"/>
                <w:b w:val="false"/>
                <w:bCs w:val="false"/>
                <w:i w:val="false"/>
                <w:caps w:val="false"/>
                <w:smallCaps w:val="false"/>
                <w:color w:val="212121"/>
                <w:spacing w:val="0"/>
                <w:sz w:val="16"/>
                <w:szCs w:val="16"/>
                <w:u w:val="none"/>
                <w:shd w:fill="auto" w:val="clear"/>
              </w:rPr>
              <w:t>Shree Ulka Llp,</w:t>
            </w:r>
          </w:p>
          <w:p>
            <w:pPr>
              <w:pStyle w:val="Heading4"/>
              <w:widowControl w:val="false"/>
              <w:spacing w:lineRule="auto" w:line="240" w:before="0" w:after="0"/>
              <w:ind w:hanging="0" w:left="0" w:right="0"/>
              <w:rPr>
                <w:rFonts w:ascii="Roboto;sans-serif" w:hAnsi="Roboto;sans-serif" w:cs="Arial"/>
                <w:b w:val="false"/>
                <w:bCs w:val="false"/>
                <w:color w:val="212121"/>
                <w:sz w:val="16"/>
                <w:szCs w:val="16"/>
                <w:u w:val="none"/>
                <w:shd w:fill="auto" w:val="clear"/>
              </w:rPr>
            </w:pPr>
            <w:r>
              <w:rPr>
                <w:rFonts w:eastAsia="Calibri" w:cs="Arial" w:ascii="Roboto;sans-serif" w:hAnsi="Roboto;sans-serif"/>
                <w:b w:val="false"/>
                <w:bCs w:val="false"/>
                <w:i w:val="false"/>
                <w:caps w:val="false"/>
                <w:smallCaps w:val="false"/>
                <w:color w:val="212121"/>
                <w:spacing w:val="0"/>
                <w:sz w:val="16"/>
                <w:szCs w:val="16"/>
                <w:u w:val="none"/>
                <w:shd w:fill="auto" w:val="clear"/>
              </w:rPr>
              <w:t>Nekkanti Mega Food Park Pvt. Ltd.,</w:t>
            </w:r>
          </w:p>
        </w:tc>
        <w:tc>
          <w:tcPr>
            <w:tcW w:w="89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t>0304</w:t>
            </w:r>
          </w:p>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t>0306</w:t>
            </w:r>
          </w:p>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r>
          </w:p>
        </w:tc>
        <w:tc>
          <w:tcPr>
            <w:tcW w:w="15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t>11/06/2026</w:t>
            </w:r>
          </w:p>
        </w:tc>
        <w:tc>
          <w:tcPr>
            <w:tcW w:w="83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cs="Arial"/>
                <w:b w:val="false"/>
                <w:bCs w:val="false"/>
                <w:color w:val="000000"/>
                <w:sz w:val="16"/>
                <w:szCs w:val="16"/>
                <w:u w:val="none"/>
                <w:shd w:fill="auto" w:val="clear"/>
              </w:rPr>
            </w:pPr>
            <w:r>
              <w:rPr>
                <w:rFonts w:cs="Arial" w:ascii="URW Bookman" w:hAnsi="URW Bookman"/>
                <w:b w:val="false"/>
                <w:bCs w:val="false"/>
                <w:color w:val="000000"/>
                <w:sz w:val="16"/>
                <w:szCs w:val="16"/>
                <w:u w:val="none"/>
                <w:shd w:fill="auto" w:val="clear"/>
              </w:rPr>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090" w:type="dxa"/>
        <w:jc w:val="left"/>
        <w:tblInd w:w="1116" w:type="dxa"/>
        <w:tblLayout w:type="fixed"/>
        <w:tblCellMar>
          <w:top w:w="0" w:type="dxa"/>
          <w:left w:w="108" w:type="dxa"/>
          <w:bottom w:w="0" w:type="dxa"/>
          <w:right w:w="108" w:type="dxa"/>
        </w:tblCellMar>
      </w:tblPr>
      <w:tblGrid>
        <w:gridCol w:w="1977"/>
        <w:gridCol w:w="7113"/>
      </w:tblGrid>
      <w:tr>
        <w:trPr>
          <w:trHeight w:val="563" w:hRule="atLeast"/>
        </w:trPr>
        <w:tc>
          <w:tcPr>
            <w:tcW w:w="1977"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1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FSVPS website</w:t>
            </w:r>
          </w:p>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shd w:fill="auto" w:val="clear"/>
                <w:lang w:eastAsia="en-US" w:bidi="ar-SA"/>
              </w:rPr>
              <w:t>https://navigator.fsvps.gov.ru/trafficking/registry/index?countryId=99</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c. Alerts on standards, Technical regulations and Conformity assessment procedures:</w:t>
      </w:r>
    </w:p>
    <w:p>
      <w:pPr>
        <w:pStyle w:val="Normal"/>
        <w:spacing w:lineRule="auto" w:line="240" w:before="0" w:after="0"/>
        <w:ind w:hanging="0" w:left="0" w:right="0"/>
        <w:jc w:val="both"/>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p>
      <w:pPr>
        <w:pStyle w:val="Normal"/>
        <w:spacing w:lineRule="auto" w:line="240" w:before="0" w:after="0"/>
        <w:ind w:hanging="0" w:left="0" w:right="0"/>
        <w:jc w:val="both"/>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tbl>
      <w:tblPr>
        <w:tblW w:w="10210" w:type="dxa"/>
        <w:jc w:val="left"/>
        <w:tblInd w:w="55" w:type="dxa"/>
        <w:tblLayout w:type="fixed"/>
        <w:tblCellMar>
          <w:top w:w="55" w:type="dxa"/>
          <w:left w:w="55" w:type="dxa"/>
          <w:bottom w:w="55" w:type="dxa"/>
          <w:right w:w="55" w:type="dxa"/>
        </w:tblCellMar>
      </w:tblPr>
      <w:tblGrid>
        <w:gridCol w:w="413"/>
        <w:gridCol w:w="1606"/>
        <w:gridCol w:w="3981"/>
        <w:gridCol w:w="982"/>
        <w:gridCol w:w="1165"/>
        <w:gridCol w:w="2063"/>
      </w:tblGrid>
      <w:tr>
        <w:trPr>
          <w:tblHeader w:val="true"/>
        </w:trPr>
        <w:tc>
          <w:tcPr>
            <w:tcW w:w="413" w:type="dxa"/>
            <w:tcBorders>
              <w:top w:val="single" w:sz="4" w:space="0" w:color="000000"/>
              <w:left w:val="single" w:sz="4" w:space="0" w:color="000000"/>
              <w:bottom w:val="single" w:sz="4" w:space="0" w:color="000000"/>
            </w:tcBorders>
            <w:vAlign w:val="center"/>
          </w:tcPr>
          <w:p>
            <w:pPr>
              <w:pStyle w:val="TableHeading"/>
              <w:widowControl w:val="false"/>
              <w:spacing w:lineRule="auto" w:line="240" w:before="0" w:after="0"/>
              <w:ind w:hanging="0" w:left="0" w:right="0"/>
              <w:rPr>
                <w:rFonts w:ascii="URW Bookman" w:hAnsi="URW Bookman"/>
                <w:sz w:val="16"/>
                <w:szCs w:val="16"/>
              </w:rPr>
            </w:pPr>
            <w:r>
              <w:rPr>
                <w:rFonts w:ascii="URW Bookman" w:hAnsi="URW Bookman"/>
                <w:sz w:val="16"/>
                <w:szCs w:val="16"/>
              </w:rPr>
              <w:t>SN</w:t>
            </w:r>
          </w:p>
        </w:tc>
        <w:tc>
          <w:tcPr>
            <w:tcW w:w="1606"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rFonts w:ascii="URW Bookman" w:hAnsi="URW Bookman"/>
                <w:sz w:val="16"/>
                <w:szCs w:val="16"/>
              </w:rPr>
            </w:pPr>
            <w:r>
              <w:rPr>
                <w:rFonts w:cs="Arial" w:ascii="URW Bookman" w:hAnsi="URW Bookman"/>
                <w:b/>
                <w:bCs/>
                <w:color w:val="000000"/>
                <w:sz w:val="16"/>
                <w:szCs w:val="16"/>
                <w:u w:val="none"/>
                <w:shd w:fill="auto" w:val="clear"/>
              </w:rPr>
              <w:t>Notification no./ date</w:t>
            </w:r>
          </w:p>
        </w:tc>
        <w:tc>
          <w:tcPr>
            <w:tcW w:w="3981"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rFonts w:ascii="URW Bookman" w:hAnsi="URW Bookman"/>
                <w:sz w:val="16"/>
                <w:szCs w:val="16"/>
              </w:rPr>
            </w:pPr>
            <w:r>
              <w:rPr>
                <w:rFonts w:cs="Arial" w:ascii="URW Bookman" w:hAnsi="URW Bookman"/>
                <w:b/>
                <w:bCs/>
                <w:color w:val="000000"/>
                <w:sz w:val="16"/>
                <w:szCs w:val="16"/>
                <w:u w:val="none"/>
                <w:shd w:fill="auto" w:val="clear"/>
              </w:rPr>
              <w:t>Standard/ Technical regulation/ Conformity assessment procedure</w:t>
            </w:r>
          </w:p>
        </w:tc>
        <w:tc>
          <w:tcPr>
            <w:tcW w:w="98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rFonts w:ascii="URW Bookman" w:hAnsi="URW Bookman"/>
                <w:sz w:val="16"/>
                <w:szCs w:val="16"/>
              </w:rPr>
            </w:pPr>
            <w:r>
              <w:rPr>
                <w:rFonts w:cs="Arial" w:ascii="URW Bookman" w:hAnsi="URW Bookman"/>
                <w:b/>
                <w:bCs/>
                <w:color w:val="000000"/>
                <w:sz w:val="16"/>
                <w:szCs w:val="16"/>
                <w:u w:val="none"/>
                <w:shd w:fill="auto" w:val="clear"/>
              </w:rPr>
              <w:t>HS Codes</w:t>
            </w:r>
          </w:p>
        </w:tc>
        <w:tc>
          <w:tcPr>
            <w:tcW w:w="116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rFonts w:ascii="URW Bookman" w:hAnsi="URW Bookman"/>
                <w:sz w:val="16"/>
                <w:szCs w:val="16"/>
              </w:rPr>
            </w:pPr>
            <w:r>
              <w:rPr>
                <w:rFonts w:cs="Arial" w:ascii="URW Bookman" w:hAnsi="URW Bookman"/>
                <w:b/>
                <w:bCs/>
                <w:color w:val="000000"/>
                <w:sz w:val="16"/>
                <w:szCs w:val="16"/>
                <w:u w:val="none"/>
                <w:shd w:fill="auto" w:val="clear"/>
              </w:rPr>
              <w:t>Effective from</w:t>
            </w:r>
          </w:p>
        </w:tc>
        <w:tc>
          <w:tcPr>
            <w:tcW w:w="2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rFonts w:ascii="URW Bookman" w:hAnsi="URW Bookman"/>
                <w:sz w:val="16"/>
                <w:szCs w:val="16"/>
              </w:rPr>
            </w:pPr>
            <w:r>
              <w:rPr>
                <w:rFonts w:cs="Arial" w:ascii="URW Bookman" w:hAnsi="URW Bookman"/>
                <w:b/>
                <w:bCs/>
                <w:color w:val="000000"/>
                <w:sz w:val="16"/>
                <w:szCs w:val="16"/>
                <w:u w:val="none"/>
                <w:shd w:fill="auto" w:val="clear"/>
              </w:rPr>
              <w:t>Remarks if any</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19/11/2025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1419-st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72390-2025 </w:t>
              <w:br/>
              <w:t>Tank containers for cooled liquefied gases. General technical conditions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7311</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12/03/2026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214-st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72572-2026 </w:t>
              <w:br/>
              <w:t>Mining equipment. Steel drill pipes for core barrel rigs. General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8431</w:t>
            </w:r>
          </w:p>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7304</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07/10/2025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1162-st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50.04.01-2025 </w:t>
              <w:br/>
              <w:t>Conformity assessment system for the use of nuclear energy. Conformity assessment in the form of testing. Qualification testing procedure</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281-st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72578-2026 </w:t>
              <w:br/>
              <w:t>Rolled plates of alloy heat-resistant steel grade 10X2M1 for welded vessels and apparatus manufacturing for service at elevated temperatures and pressures.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7225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25/03/2026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270-st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70400.11-2026 </w:t>
              <w:br/>
              <w:t>Ammunition and special chemistry industry Non-explosive means of initiating charges. General technical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279-st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35330-2026 </w:t>
              <w:br/>
              <w:t>Gas supply system. Main pipeline gas transportation. Trunk gas pipelines. Design in areas of high seismic activity and active fault crossing</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7304</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07/11/2025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1336-st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EN 16436-2-2023 </w:t>
              <w:br/>
              <w:t>Rubber and plastics hoses, tubing and assemblies for use with liquefied petroleum and natural gas. Part 2. Assemblies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3917</w:t>
            </w:r>
          </w:p>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4009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01/12/2025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1598-st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72338-2025 </w:t>
              <w:br/>
              <w:t>Technologies and technological processes for processing parts. Terms and definitions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27/10/2025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1281-st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72182.2-2025 </w:t>
              <w:br/>
              <w:t>Solderless connections. Part 2. Crimped connections. General requirements and test methods</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t>8536</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27/10/2025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1282-st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72182.3-2025 </w:t>
              <w:br/>
              <w:t>Solderless connections. Part 3. Accessible insulation displacement connections. General requirements and test methods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15/09/2025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1044-st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13448-2025 </w:t>
              <w:br/>
              <w:t>Plastic ventilation grills. General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3926</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12/09/2025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1032-st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23499-2025 </w:t>
              <w:br/>
              <w:t>Sound-insulating and sound-absorbing building materials and products. General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6806</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12/09/2025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1033-st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25137-2025 </w:t>
              <w:br/>
              <w:t>Non-metallic building materials, porous aggregates from dense rocks, porous, from industrial waste for concrete. Classification</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6806</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10/09/2025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1016-st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25818-2025 </w:t>
              <w:br/>
              <w:t>Fly ash thermal power plant for use in concrete. Specifications</w:t>
            </w:r>
          </w:p>
        </w:tc>
        <w:tc>
          <w:tcPr>
            <w:tcW w:w="982" w:type="dxa"/>
            <w:tcBorders>
              <w:left w:val="single" w:sz="4" w:space="0" w:color="000000"/>
              <w:bottom w:val="single" w:sz="4" w:space="0" w:color="000000"/>
            </w:tcBorders>
          </w:tcPr>
          <w:p>
            <w:pPr>
              <w:pStyle w:val="Normal"/>
              <w:tabs>
                <w:tab w:val="clear" w:pos="720"/>
              </w:tabs>
              <w:spacing w:before="0" w:after="20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15/09/2025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1047-st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8269.0-2025 </w:t>
              <w:br/>
              <w:t>Mauntainous rock road-metal and gravel, industrial waste products for construction works. Methods of physical and mechanical tests</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t>2517</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25/02/2026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158-st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8717-2025 </w:t>
              <w:br/>
              <w:t>Reinforced concrete and concrete steps.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6810</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10/09/2025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1015-st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8736-2025 </w:t>
              <w:br/>
              <w:t>Sand for construction works.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6802</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978-st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72255-2025 </w:t>
              <w:br/>
              <w:t>Waste of building materials from demolition of buildings. Recycling crushed stone and sand from concrete and reinforced concrete. General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979-st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72256-2025 </w:t>
              <w:br/>
              <w:t>Construction dry mixes based on cement binder. Specifications</w:t>
            </w:r>
          </w:p>
        </w:tc>
        <w:tc>
          <w:tcPr>
            <w:tcW w:w="982"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3824</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12/09/2025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1028-st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72277-2025 </w:t>
              <w:br/>
              <w:t>Swellable profiles for waterproofing of joints and utility lines entries in reinforced cast-in-place concrete. General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4016</w:t>
            </w:r>
          </w:p>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3921</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15/09/2025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1049-st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72291-2025 </w:t>
              <w:br/>
              <w:t>Non-metallic construction materials. Raw materials and products from it. Terms and definitions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15/09/2025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1051-st</w:t>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72293-2025 </w:t>
              <w:br/>
              <w:t>Materials for metal covering cassettes in the constructions of washed fasade systems. General technical requirements</w:t>
              <w:br/>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15/09/2025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1052-st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72294-2025 </w:t>
              <w:br/>
              <w:t>Building materials and finishing and facing products for interior work. Classification and nomenclature of performance characteristics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24/09/2025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1103-st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72305-2025 </w:t>
              <w:br/>
              <w:t>Reinforcing alkali-resistant meshes from glass fiber for interior work.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7019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28/05/2025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501-st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27078-2025 </w:t>
              <w:br/>
              <w:t>Thermoplastics pipes. Longitudinal reversion of a pipe. Test method and parameters</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t>3917</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16/04/2026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376-st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28246.1-2026 </w:t>
              <w:br/>
              <w:t>Materials and coatings paints and varnishes. Terms and definitions. Part 1. Paints and varnishes</w:t>
            </w:r>
          </w:p>
        </w:tc>
        <w:tc>
          <w:tcPr>
            <w:tcW w:w="982"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3208</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26/11/2025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1512-st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28246.2-2025 </w:t>
              <w:br/>
              <w:t>Materials and coatings paints and varnishes. Terms and definitions. Part 2. Paint coatings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3208</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28/08/2025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945-st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30493-2025 </w:t>
              <w:br/>
              <w:t>Sanitary ceramic wares. Classification and basic dimensions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6907</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16/06/2025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550-st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32677-2025 </w:t>
              <w:br/>
              <w:t>Bakery production. Terms and definitions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1905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18/03/2026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242-st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33433-2025 </w:t>
              <w:br/>
              <w:t>Functional safety. Railway technique. Risk management at life cycle stages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30/04/2025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375-st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35246-2025 </w:t>
              <w:br/>
              <w:t>Water attractions and amusement devices. Safety of structure and test methods. General requirements</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t>9508</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300-st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10.00.00.02-2026 </w:t>
              <w:br/>
              <w:t>The unified system for information modeling. Principles, goals and objectives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10/12/2025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1684-st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10.00.00.05-2025 </w:t>
              <w:br/>
              <w:t>The Unified system for information modeling. Life cycle of modeling objects. Life cycle of information model. General provisions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07/04/2025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254-st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52354-2025 </w:t>
              <w:br/>
              <w:t>Articles from paper of domestic and sanitary purposes. General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4818</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304-st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53692-2026 </w:t>
              <w:br/>
              <w:t>Resources saving. Waste treatment. Stages of technological cycle of waste</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282-st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54534-2026 </w:t>
              <w:br/>
              <w:t>Resources saving. Sewage sludge. Requirements for recultivation of disturbed lands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56617-2026 </w:t>
              <w:br/>
              <w:t>Resources saving. Waste treatment. Glass cullet recovered from waste for use in manufacture of glass fiber. General provisions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7001</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30/03/2026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289-st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57043-2026 </w:t>
              <w:br/>
              <w:t>Resources saving. Waste treatment. Characteristics of polypropylene recyclates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3902</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305-st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57044-2026 </w:t>
              <w:br/>
              <w:t>Resources saving. Waste treatment. Characteristics of polyvinylchloride recyclates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3915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306-st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57050-2026 </w:t>
              <w:br/>
              <w:t>Resources saving. Waste treatment. Characteristics of polyethylene (PE) recyclates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3915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307-st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57051-2026</w:t>
              <w:br/>
              <w:t>Resources saving. Waste management. Characteristics of polystyrene recyclates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3915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01/04/2026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308-st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57057-2026</w:t>
              <w:br/>
              <w:t>Resources saving. Waste treatment. Characteristics of poly(ethylene) terephthalate (PET) recyclates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3915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283-st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57702-2026</w:t>
              <w:br/>
              <w:t>Resources saving. Waste treatment. Requirements for low-waste and wasteless technologies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31/03/2026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298-st</w:t>
              <w:br/>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60.0.0.19-2026</w:t>
              <w:br/>
              <w:t>Robots and robotic devices. Information support of the life cycle. Basic principles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31/03/2026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299-st</w:t>
              <w:br/>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60.0.0.20-2026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Information support of the life cycle. General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326-st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60.3.0.3-2026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Industrial manipulation robots. General technical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327-st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60.3.0.4-2026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Industrial manipulation robots. Execution modules. General technical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328-st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60.3.1.2-2026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Industrial manipulating robots. Rated load capacity ranks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329-st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60.3.1.3-2026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Industrial manipulation robots. Nomenclature of basic quality indicators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330-st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60.3.3.3-2026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Industrial manipulation robots. Acceptance rules. Test methods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331-st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Technical regulation</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60.4.1.1-2026</w:t>
              <w:br/>
              <w:t>Robots and robotic devices. Industrial transport robots. Guidelines for the presentation of capabilities and limitations of robots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333-st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60.5.3.5-2026</w:t>
              <w:br/>
              <w:t>Robots and robotic devices. Test methods for exoskeleton-type walking robot intended for rehabilitation, assessment, compensation and alleviation</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334-st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60.6.3.15-2026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Performance criteria and related test methods for service mobile robots. Part 2. Navigation</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09/04/2026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332-st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60.7.2.1-2026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Robots and robotic devices. Unmanned underwater vehicles. Safety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8479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105-st</w:t>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70378.6-2026</w:t>
              <w:br/>
              <w:t>Workplace exposure. Assessment of sampler performance for measurement of airborne particle concentrations. Part 6. Methodology for assessing the impact of operation and transportation of samplers on their characteristics</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20/11/2025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1441-st</w:t>
              <w:br/>
            </w:r>
          </w:p>
        </w:tc>
        <w:tc>
          <w:tcPr>
            <w:tcW w:w="3981"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72395-2025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Technical diagnostics. Bending elastic stresses measurement in carrier systems elements of forging and pressing equipment by acoustic method. General requirements</w:t>
            </w:r>
          </w:p>
        </w:tc>
        <w:tc>
          <w:tcPr>
            <w:tcW w:w="982" w:type="dxa"/>
            <w:tcBorders>
              <w:left w:val="single" w:sz="4" w:space="0" w:color="000000"/>
              <w:bottom w:val="single" w:sz="4" w:space="0" w:color="000000"/>
            </w:tcBorders>
          </w:tcPr>
          <w:p>
            <w:pPr>
              <w:pStyle w:val="Normal"/>
              <w:tabs>
                <w:tab w:val="clear" w:pos="720"/>
              </w:tabs>
              <w:spacing w:before="0" w:after="20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29/12/2025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1851-st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72419-2025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Data storage systems. Production classification and procedure for its application</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16/12/2025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1733-st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72467-2025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Rubber and rubber compounds for cable industry.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4005</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05/02/2026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84-st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72529-2026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Heat exchangers. Forced circulation air-cooling and air-heating coils. Test procedures for establishing the performance</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t>8419</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09/02/2026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106-st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GOST R 72540-2026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Stationary source emissions. Determination of the mass concentration of sulfur dioxide in flue gases. Performance characteristics of automated measuring systems</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12/02/2026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120-st</w:t>
              <w:br/>
            </w:r>
          </w:p>
        </w:tc>
        <w:tc>
          <w:tcPr>
            <w:tcW w:w="3981"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Conformity assessment procedure</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72544-2026 </w:t>
              <w:br/>
              <w:t>Environmental management. Environmental techno-economic assessment. Principles, requirements and guidance</w:t>
            </w:r>
          </w:p>
        </w:tc>
        <w:tc>
          <w:tcPr>
            <w:tcW w:w="982" w:type="dxa"/>
            <w:tcBorders>
              <w:left w:val="single" w:sz="4" w:space="0" w:color="000000"/>
              <w:bottom w:val="single" w:sz="4" w:space="0" w:color="000000"/>
            </w:tcBorders>
          </w:tcPr>
          <w:p>
            <w:pPr>
              <w:pStyle w:val="TableContents"/>
              <w:widowControl w:val="false"/>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13/02/2026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132-st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72548-2026 </w:t>
              <w:br/>
              <w:t>Educational equipment. General safety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284-st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72582-2026 </w:t>
              <w:br/>
              <w:t>Technologies for the use of recycled raw materials made using industrial waste. General requirements for the description and list of technical documentation</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27/03/2026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285-st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72601-2026 </w:t>
              <w:br/>
              <w:t>Technologies for processing industrial waste into secondary raw materials. General requirements for the description and list of technical documentation</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17/10/2025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1233-st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9.612-2025 </w:t>
              <w:br/>
              <w:t>Unified system of corrosion and ageing protection. Electrochemical protection. Cathodic protection stations. General specifications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8504</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18/06/2025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568-st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ISO 13008-2025 </w:t>
              <w:br/>
              <w:t>Information and documentation. Digital records conversion and migration process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04/12/2025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1630-st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14020-2025 </w:t>
              <w:br/>
              <w:t>Environmental statements and product programs. Principles and general requirements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25/06/2025</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620-st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24143-2025 </w:t>
              <w:br/>
              <w:t>Information and documentation. Information Governance. Concept and principles</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r>
        <w:trPr/>
        <w:tc>
          <w:tcPr>
            <w:tcW w:w="413" w:type="dxa"/>
            <w:tcBorders>
              <w:left w:val="single" w:sz="4" w:space="0" w:color="000000"/>
              <w:bottom w:val="single" w:sz="4" w:space="0" w:color="000000"/>
            </w:tcBorders>
          </w:tcPr>
          <w:p>
            <w:pPr>
              <w:pStyle w:val="TableContents"/>
              <w:widowControl w:val="false"/>
              <w:numPr>
                <w:ilvl w:val="0"/>
                <w:numId w:val="4"/>
              </w:numPr>
              <w:spacing w:lineRule="auto" w:line="240" w:before="0" w:after="0"/>
              <w:ind w:hanging="0" w:left="0" w:right="0"/>
              <w:rPr>
                <w:rFonts w:ascii="URW Bookman" w:hAnsi="URW Bookman" w:eastAsia="Calibri" w:cs="Arial"/>
                <w:b w:val="false"/>
                <w:bCs w:val="false"/>
                <w:color w:val="000000"/>
                <w:kern w:val="0"/>
                <w:sz w:val="16"/>
                <w:szCs w:val="16"/>
                <w:u w:val="none"/>
                <w:shd w:fill="auto" w:val="clear"/>
                <w:lang w:val="en-US" w:eastAsia="en-US" w:bidi="ar-SA"/>
              </w:rPr>
            </w:pPr>
            <w:r>
              <w:rPr>
                <w:rFonts w:eastAsia="Calibri" w:cs="Arial" w:ascii="URW Bookman" w:hAnsi="URW Bookman"/>
                <w:b w:val="false"/>
                <w:bCs w:val="false"/>
                <w:color w:val="000000"/>
                <w:kern w:val="0"/>
                <w:sz w:val="16"/>
                <w:szCs w:val="16"/>
                <w:u w:val="none"/>
                <w:shd w:fill="auto" w:val="clear"/>
                <w:lang w:val="en-US" w:eastAsia="en-US" w:bidi="ar-SA"/>
              </w:rPr>
            </w:r>
          </w:p>
        </w:tc>
        <w:tc>
          <w:tcPr>
            <w:tcW w:w="1606" w:type="dxa"/>
            <w:tcBorders>
              <w:left w:val="single" w:sz="4" w:space="0" w:color="000000"/>
              <w:bottom w:val="single" w:sz="4" w:space="0" w:color="000000"/>
            </w:tcBorders>
          </w:tcPr>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Rosstandart,</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21/01/2026</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No 21-st</w:t>
              <w:br/>
            </w:r>
          </w:p>
        </w:tc>
        <w:tc>
          <w:tcPr>
            <w:tcW w:w="3981"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bCs w:val="false"/>
                <w:color w:val="000000"/>
                <w:kern w:val="0"/>
                <w:sz w:val="16"/>
                <w:szCs w:val="16"/>
                <w:u w:val="none"/>
                <w:shd w:fill="auto" w:val="clear"/>
                <w:lang w:val="en-US" w:eastAsia="en-US" w:bidi="ar-SA"/>
              </w:rPr>
              <w:t>Standard</w:t>
            </w:r>
          </w:p>
          <w:p>
            <w:pPr>
              <w:pStyle w:val="Normal"/>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 xml:space="preserve">GOST R MEK 62902-2026 </w:t>
              <w:br/>
              <w:t>Secondary cells and batteries. Requirements for marking by type of electrochemical system</w:t>
            </w:r>
          </w:p>
        </w:tc>
        <w:tc>
          <w:tcPr>
            <w:tcW w:w="982"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rFonts w:ascii="URW Bookman" w:hAnsi="URW Bookman"/>
                <w:sz w:val="16"/>
                <w:szCs w:val="16"/>
              </w:rPr>
            </w:pPr>
            <w:r>
              <w:rPr>
                <w:rFonts w:ascii="URW Bookman" w:hAnsi="URW Bookman"/>
                <w:sz w:val="16"/>
                <w:szCs w:val="16"/>
              </w:rPr>
              <w:t>8506</w:t>
            </w:r>
          </w:p>
        </w:tc>
        <w:tc>
          <w:tcPr>
            <w:tcW w:w="1165" w:type="dxa"/>
            <w:tcBorders>
              <w:left w:val="single" w:sz="4" w:space="0" w:color="000000"/>
              <w:bottom w:val="single" w:sz="4" w:space="0" w:color="000000"/>
            </w:tcBorders>
          </w:tcPr>
          <w:p>
            <w:pPr>
              <w:pStyle w:val="Normal"/>
              <w:widowControl w:val="false"/>
              <w:tabs>
                <w:tab w:val="clear" w:pos="720"/>
              </w:tabs>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01/06/2026</w:t>
            </w:r>
          </w:p>
        </w:tc>
        <w:tc>
          <w:tcPr>
            <w:tcW w:w="2063" w:type="dxa"/>
            <w:tcBorders>
              <w:left w:val="single" w:sz="4" w:space="0" w:color="000000"/>
              <w:bottom w:val="single" w:sz="4" w:space="0" w:color="000000"/>
              <w:right w:val="single" w:sz="4" w:space="0" w:color="000000"/>
            </w:tcBorders>
          </w:tcPr>
          <w:p>
            <w:pPr>
              <w:pStyle w:val="TableContents"/>
              <w:widowControl w:val="false"/>
              <w:spacing w:lineRule="auto" w:line="240" w:before="0" w:after="0"/>
              <w:ind w:hanging="0" w:left="0" w:right="0"/>
              <w:jc w:val="left"/>
              <w:rPr/>
            </w:pPr>
            <w:r>
              <w:rPr>
                <w:rStyle w:val="SourceText"/>
                <w:rFonts w:eastAsia="Calibri" w:cs="Arial" w:ascii="URW Bookman" w:hAnsi="URW Bookman"/>
                <w:b w:val="false"/>
                <w:bCs w:val="false"/>
                <w:color w:val="000000"/>
                <w:kern w:val="0"/>
                <w:sz w:val="16"/>
                <w:szCs w:val="16"/>
                <w:u w:val="none"/>
                <w:shd w:fill="auto" w:val="clear"/>
                <w:lang w:val="en-US" w:eastAsia="en-US" w:bidi="ar-SA"/>
              </w:rPr>
              <w:t>Compliance with standards may be important for suppliers of products and services</w:t>
            </w:r>
          </w:p>
        </w:tc>
      </w:tr>
    </w:tbl>
    <w:p>
      <w:pPr>
        <w:pStyle w:val="Normal"/>
        <w:spacing w:lineRule="auto" w:line="240" w:before="0" w:after="0"/>
        <w:ind w:hanging="0" w:left="0" w:right="0"/>
        <w:jc w:val="both"/>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p>
      <w:pPr>
        <w:pStyle w:val="Normal"/>
        <w:spacing w:lineRule="auto" w:line="240" w:before="0" w:after="0"/>
        <w:ind w:hanging="0" w:left="0" w:right="0"/>
        <w:jc w:val="both"/>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p>
      <w:pPr>
        <w:pStyle w:val="Normal"/>
        <w:numPr>
          <w:ilvl w:val="0"/>
          <w:numId w:val="0"/>
        </w:numPr>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d. Any other Alerts on trade defense measures taken by respective country:</w:t>
        <w:tab/>
      </w:r>
    </w:p>
    <w:p>
      <w:pPr>
        <w:pStyle w:val="Normal"/>
        <w:spacing w:lineRule="auto" w:line="240" w:before="0" w:after="0"/>
        <w:ind w:hanging="0" w:left="0" w:right="0"/>
        <w:rPr>
          <w:highlight w:val="none"/>
          <w:shd w:fill="auto" w:val="clear"/>
        </w:rPr>
      </w:pPr>
      <w:r>
        <w:rPr>
          <w:rFonts w:cs="Arial" w:ascii="URW Bookman" w:hAnsi="URW Bookman"/>
          <w:i/>
          <w:color w:val="000000"/>
          <w:sz w:val="16"/>
          <w:szCs w:val="16"/>
          <w:shd w:fill="auto" w:val="clear"/>
        </w:rPr>
        <w:tab/>
        <w:t>(Safeguards including special safeguard, antidumping, CVD or anti- subsidy)</w:t>
      </w:r>
    </w:p>
    <w:tbl>
      <w:tblPr>
        <w:tblW w:w="10080" w:type="dxa"/>
        <w:jc w:val="left"/>
        <w:tblInd w:w="91" w:type="dxa"/>
        <w:tblLayout w:type="fixed"/>
        <w:tblCellMar>
          <w:top w:w="0" w:type="dxa"/>
          <w:left w:w="108" w:type="dxa"/>
          <w:bottom w:w="0" w:type="dxa"/>
          <w:right w:w="108" w:type="dxa"/>
        </w:tblCellMar>
      </w:tblPr>
      <w:tblGrid>
        <w:gridCol w:w="650"/>
        <w:gridCol w:w="2563"/>
        <w:gridCol w:w="6867"/>
      </w:tblGrid>
      <w:tr>
        <w:trPr>
          <w:trHeight w:val="369" w:hRule="atLeast"/>
        </w:trPr>
        <w:tc>
          <w:tcPr>
            <w:tcW w:w="65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 No.</w:t>
            </w:r>
          </w:p>
        </w:tc>
        <w:tc>
          <w:tcPr>
            <w:tcW w:w="2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ascii="URW Bookman" w:hAnsi="URW Bookman"/>
                <w:b/>
                <w:i w:val="false"/>
                <w:caps w:val="false"/>
                <w:smallCaps w:val="false"/>
                <w:color w:val="000000"/>
                <w:spacing w:val="0"/>
                <w:sz w:val="16"/>
                <w:szCs w:val="16"/>
                <w:shd w:fill="auto" w:val="clear"/>
              </w:rPr>
              <w:t>Measure</w:t>
            </w:r>
          </w:p>
        </w:tc>
        <w:tc>
          <w:tcPr>
            <w:tcW w:w="68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Details</w:t>
            </w:r>
          </w:p>
        </w:tc>
      </w:tr>
      <w:tr>
        <w:trPr>
          <w:trHeight w:val="527" w:hRule="atLeast"/>
        </w:trPr>
        <w:tc>
          <w:tcPr>
            <w:tcW w:w="650" w:type="dxa"/>
            <w:tcBorders>
              <w:left w:val="single" w:sz="4" w:space="0" w:color="000000"/>
              <w:bottom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color w:val="000000"/>
                <w:kern w:val="0"/>
                <w:sz w:val="16"/>
                <w:szCs w:val="16"/>
                <w:shd w:fill="auto" w:val="clear"/>
                <w:lang w:val="en-US" w:eastAsia="en-US" w:bidi="ar-SA"/>
              </w:rPr>
              <w:t>1</w:t>
            </w:r>
          </w:p>
        </w:tc>
        <w:tc>
          <w:tcPr>
            <w:tcW w:w="256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color w:val="000000"/>
                <w:kern w:val="0"/>
                <w:sz w:val="16"/>
                <w:szCs w:val="16"/>
                <w:shd w:fill="auto" w:val="clear"/>
                <w:lang w:val="en-US" w:eastAsia="en-US" w:bidi="ar-SA"/>
              </w:rPr>
              <w:t>Antidumping</w:t>
            </w:r>
          </w:p>
        </w:tc>
        <w:tc>
          <w:tcPr>
            <w:tcW w:w="686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color w:val="000000"/>
                <w:kern w:val="0"/>
                <w:sz w:val="16"/>
                <w:szCs w:val="16"/>
                <w:shd w:fill="auto" w:val="clear"/>
                <w:lang w:val="en-US" w:eastAsia="en-US" w:bidi="ar-SA"/>
              </w:rPr>
              <w:t>The validity period of the anti-dumping measure in relation to aluminum tape imported into the customs territory of the EAEU, originating from Azerbaijan and the PRC, has been extended until May 24, 2031 inclusive (June 27, 2026)</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017" w:type="dxa"/>
        <w:jc w:val="left"/>
        <w:tblInd w:w="1116" w:type="dxa"/>
        <w:tblLayout w:type="fixed"/>
        <w:tblCellMar>
          <w:top w:w="0" w:type="dxa"/>
          <w:left w:w="108" w:type="dxa"/>
          <w:bottom w:w="0" w:type="dxa"/>
          <w:right w:w="108" w:type="dxa"/>
        </w:tblCellMar>
      </w:tblPr>
      <w:tblGrid>
        <w:gridCol w:w="1980"/>
        <w:gridCol w:w="7037"/>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3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pPr>
            <w:r>
              <w:rPr>
                <w:rStyle w:val="Hyperlink"/>
                <w:rFonts w:eastAsia="Calibri" w:cs="Arial" w:ascii="URW Bookman" w:hAnsi="URW Bookman"/>
                <w:i/>
                <w:iCs/>
                <w:color w:val="000000"/>
                <w:kern w:val="0"/>
                <w:sz w:val="16"/>
                <w:szCs w:val="16"/>
                <w:u w:val="none"/>
                <w:shd w:fill="auto" w:val="clear"/>
                <w:lang w:val="en-US" w:eastAsia="en-US" w:bidi="ar-SA"/>
              </w:rPr>
              <w:t>“</w:t>
            </w:r>
            <w:r>
              <w:rPr>
                <w:rStyle w:val="Hyperlink"/>
                <w:rFonts w:eastAsia="Calibri" w:cs="Arial" w:ascii="URW Bookman" w:hAnsi="URW Bookman"/>
                <w:i/>
                <w:iCs/>
                <w:color w:val="000000"/>
                <w:kern w:val="0"/>
                <w:sz w:val="16"/>
                <w:szCs w:val="16"/>
                <w:u w:val="none"/>
                <w:shd w:fill="auto" w:val="clear"/>
                <w:lang w:val="en-US" w:eastAsia="en-US" w:bidi="ar-SA"/>
              </w:rPr>
              <w:t xml:space="preserve">Consultant” database </w:t>
            </w:r>
            <w:hyperlink r:id="rId2">
              <w:r>
                <w:rPr>
                  <w:rStyle w:val="Hyperlink"/>
                  <w:rFonts w:eastAsia="Calibri" w:cs="Arial" w:ascii="URW Bookman" w:hAnsi="URW Bookman"/>
                  <w:i/>
                  <w:iCs/>
                  <w:color w:val="000000"/>
                  <w:kern w:val="0"/>
                  <w:sz w:val="16"/>
                  <w:szCs w:val="16"/>
                  <w:u w:val="single"/>
                  <w:shd w:fill="auto" w:val="clear"/>
                  <w:lang w:val="en-US" w:eastAsia="en-US" w:bidi="ar-SA"/>
                </w:rPr>
                <w:t>https://www.consultant.ru</w:t>
              </w:r>
            </w:hyperlink>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e. Alert on services, regulatory regime, qualification requirement, licensing procedures, visa regime, barriers etc.</w:t>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10027" w:type="dxa"/>
        <w:jc w:val="left"/>
        <w:tblInd w:w="112" w:type="dxa"/>
        <w:tblLayout w:type="fixed"/>
        <w:tblCellMar>
          <w:top w:w="0" w:type="dxa"/>
          <w:left w:w="108" w:type="dxa"/>
          <w:bottom w:w="0" w:type="dxa"/>
          <w:right w:w="108" w:type="dxa"/>
        </w:tblCellMar>
      </w:tblPr>
      <w:tblGrid>
        <w:gridCol w:w="557"/>
        <w:gridCol w:w="2435"/>
        <w:gridCol w:w="994"/>
        <w:gridCol w:w="1495"/>
        <w:gridCol w:w="4546"/>
      </w:tblGrid>
      <w:tr>
        <w:trPr>
          <w:trHeight w:val="432" w:hRule="atLeast"/>
        </w:trPr>
        <w:tc>
          <w:tcPr>
            <w:tcW w:w="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 No.</w:t>
            </w:r>
          </w:p>
        </w:tc>
        <w:tc>
          <w:tcPr>
            <w:tcW w:w="2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Notification no., and date or other references</w:t>
            </w:r>
          </w:p>
        </w:tc>
        <w:tc>
          <w:tcPr>
            <w:tcW w:w="9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Service sectors affected</w:t>
            </w:r>
          </w:p>
        </w:tc>
        <w:tc>
          <w:tcPr>
            <w:tcW w:w="14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Effective from</w:t>
            </w:r>
          </w:p>
        </w:tc>
        <w:tc>
          <w:tcPr>
            <w:tcW w:w="45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Remarks if any</w:t>
            </w:r>
          </w:p>
        </w:tc>
      </w:tr>
      <w:tr>
        <w:trPr>
          <w:trHeight w:val="432" w:hRule="atLeast"/>
        </w:trPr>
        <w:tc>
          <w:tcPr>
            <w:tcW w:w="5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rFonts w:ascii="URW Bookman" w:hAnsi="URW Bookman" w:cs="Arial"/>
                <w:color w:val="000000"/>
                <w:sz w:val="16"/>
                <w:szCs w:val="16"/>
                <w:shd w:fill="auto" w:val="clear"/>
              </w:rPr>
            </w:pPr>
            <w:r>
              <w:rPr>
                <w:rFonts w:cs="Arial" w:ascii="URW Bookman" w:hAnsi="URW Bookman"/>
                <w:color w:val="000000"/>
                <w:sz w:val="16"/>
                <w:szCs w:val="16"/>
                <w:shd w:fill="auto" w:val="clear"/>
              </w:rPr>
              <w:t>1</w:t>
            </w:r>
          </w:p>
        </w:tc>
        <w:tc>
          <w:tcPr>
            <w:tcW w:w="243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rFonts w:ascii="URW Bookman" w:hAnsi="URW Bookman" w:cs="Arial"/>
                <w:color w:val="000000"/>
                <w:sz w:val="16"/>
                <w:szCs w:val="16"/>
                <w:shd w:fill="auto" w:val="clear"/>
              </w:rPr>
            </w:pPr>
            <w:r>
              <w:rPr>
                <w:rFonts w:cs="Arial" w:ascii="URW Bookman" w:hAnsi="URW Bookman"/>
                <w:color w:val="000000"/>
                <w:sz w:val="16"/>
                <w:szCs w:val="16"/>
                <w:shd w:fill="auto" w:val="clear"/>
              </w:rPr>
              <w:t>Decree of Government of Russia No 431 of 17.04.2026</w:t>
            </w:r>
          </w:p>
        </w:tc>
        <w:tc>
          <w:tcPr>
            <w:tcW w:w="994"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rFonts w:ascii="URW Bookman" w:hAnsi="URW Bookman" w:cs="Arial"/>
                <w:color w:val="000000"/>
                <w:sz w:val="16"/>
                <w:szCs w:val="16"/>
                <w:shd w:fill="auto" w:val="clear"/>
              </w:rPr>
            </w:pPr>
            <w:r>
              <w:rPr>
                <w:rFonts w:cs="Arial" w:ascii="URW Bookman" w:hAnsi="URW Bookman"/>
                <w:color w:val="000000"/>
                <w:sz w:val="16"/>
                <w:szCs w:val="16"/>
                <w:shd w:fill="auto" w:val="clear"/>
              </w:rPr>
              <w:t>Fertilizers</w:t>
            </w:r>
          </w:p>
        </w:tc>
        <w:tc>
          <w:tcPr>
            <w:tcW w:w="149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rFonts w:ascii="URW Bookman" w:hAnsi="URW Bookman" w:cs="Arial"/>
                <w:color w:val="000000"/>
                <w:sz w:val="16"/>
                <w:szCs w:val="16"/>
                <w:shd w:fill="auto" w:val="clear"/>
              </w:rPr>
            </w:pPr>
            <w:r>
              <w:rPr>
                <w:rFonts w:cs="Arial" w:ascii="URW Bookman" w:hAnsi="URW Bookman"/>
                <w:color w:val="000000"/>
                <w:sz w:val="16"/>
                <w:szCs w:val="16"/>
                <w:shd w:fill="auto" w:val="clear"/>
              </w:rPr>
              <w:t>01/06/2026 - 30/11/2026</w:t>
            </w:r>
          </w:p>
        </w:tc>
        <w:tc>
          <w:tcPr>
            <w:tcW w:w="454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left"/>
              <w:rPr>
                <w:rFonts w:ascii="URW Bookman" w:hAnsi="URW Bookman" w:cs="Arial"/>
                <w:color w:val="000000"/>
                <w:sz w:val="16"/>
                <w:szCs w:val="16"/>
                <w:shd w:fill="auto" w:val="clear"/>
              </w:rPr>
            </w:pPr>
            <w:r>
              <w:rPr>
                <w:rFonts w:cs="Arial" w:ascii="URW Bookman" w:hAnsi="URW Bookman"/>
                <w:color w:val="000000"/>
                <w:sz w:val="16"/>
                <w:szCs w:val="16"/>
                <w:shd w:fill="auto" w:val="clear"/>
              </w:rPr>
              <w:t>Russian authorities limited exports of certain fertilizers:</w:t>
            </w:r>
          </w:p>
          <w:p>
            <w:pPr>
              <w:pStyle w:val="Normal"/>
              <w:widowControl w:val="false"/>
              <w:spacing w:lineRule="auto" w:line="240" w:before="0" w:after="0"/>
              <w:ind w:hanging="0" w:left="0" w:right="0"/>
              <w:jc w:val="left"/>
              <w:rPr>
                <w:rFonts w:ascii="URW Bookman" w:hAnsi="URW Bookman" w:cs="Arial"/>
                <w:color w:val="000000"/>
                <w:sz w:val="16"/>
                <w:szCs w:val="16"/>
                <w:shd w:fill="auto" w:val="clear"/>
              </w:rPr>
            </w:pPr>
            <w:r>
              <w:rPr>
                <w:rFonts w:cs="Arial" w:ascii="URW Bookman" w:hAnsi="URW Bookman"/>
                <w:color w:val="000000"/>
                <w:sz w:val="16"/>
                <w:szCs w:val="16"/>
                <w:shd w:fill="auto" w:val="clear"/>
              </w:rPr>
              <w:t>of HSN codes  3102 10 100 0, 3102 10 900 0 и 3102 80 000 0 up to 8750831 MT,</w:t>
            </w:r>
          </w:p>
          <w:p>
            <w:pPr>
              <w:pStyle w:val="Normal"/>
              <w:widowControl w:val="false"/>
              <w:spacing w:lineRule="auto" w:line="240" w:before="0" w:after="0"/>
              <w:ind w:hanging="0" w:left="0" w:right="0"/>
              <w:jc w:val="left"/>
              <w:rPr>
                <w:rFonts w:ascii="URW Bookman" w:hAnsi="URW Bookman" w:cs="Arial"/>
                <w:color w:val="000000"/>
                <w:sz w:val="16"/>
                <w:szCs w:val="16"/>
                <w:shd w:fill="auto" w:val="clear"/>
              </w:rPr>
            </w:pPr>
            <w:r>
              <w:rPr>
                <w:rFonts w:cs="Arial" w:ascii="URW Bookman" w:hAnsi="URW Bookman"/>
                <w:color w:val="000000"/>
                <w:sz w:val="16"/>
                <w:szCs w:val="16"/>
                <w:shd w:fill="auto" w:val="clear"/>
              </w:rPr>
              <w:t>of HSN codes  3102 30 100 0 and 3102 30 900 0 up to 4255316 MT;</w:t>
            </w:r>
          </w:p>
          <w:p>
            <w:pPr>
              <w:pStyle w:val="Normal"/>
              <w:widowControl w:val="false"/>
              <w:spacing w:lineRule="auto" w:line="240" w:before="0" w:after="0"/>
              <w:ind w:hanging="0" w:left="0" w:right="0"/>
              <w:jc w:val="left"/>
              <w:rPr>
                <w:rFonts w:ascii="URW Bookman" w:hAnsi="URW Bookman" w:cs="Arial"/>
                <w:color w:val="000000"/>
                <w:sz w:val="16"/>
                <w:szCs w:val="16"/>
                <w:shd w:fill="auto" w:val="clear"/>
              </w:rPr>
            </w:pPr>
            <w:r>
              <w:rPr>
                <w:rFonts w:cs="Arial" w:ascii="URW Bookman" w:hAnsi="URW Bookman"/>
                <w:color w:val="000000"/>
                <w:sz w:val="16"/>
                <w:szCs w:val="16"/>
                <w:shd w:fill="auto" w:val="clear"/>
              </w:rPr>
              <w:t>of HSN codes  3105 20 100 0, 3105 20 900 0, 3105 40 000, 3105 59 000 0 up to 7064137 MT</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579" w:type="dxa"/>
        <w:jc w:val="left"/>
        <w:tblInd w:w="537" w:type="dxa"/>
        <w:tblLayout w:type="fixed"/>
        <w:tblCellMar>
          <w:top w:w="0" w:type="dxa"/>
          <w:left w:w="108" w:type="dxa"/>
          <w:bottom w:w="0" w:type="dxa"/>
          <w:right w:w="108" w:type="dxa"/>
        </w:tblCellMar>
      </w:tblPr>
      <w:tblGrid>
        <w:gridCol w:w="2548"/>
        <w:gridCol w:w="7031"/>
      </w:tblGrid>
      <w:tr>
        <w:trPr>
          <w:trHeight w:val="288" w:hRule="atLeast"/>
        </w:trPr>
        <w:tc>
          <w:tcPr>
            <w:tcW w:w="2548"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3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pPr>
            <w:r>
              <w:rPr>
                <w:rStyle w:val="Hyperlink"/>
                <w:rFonts w:eastAsia="Calibri" w:cs="Arial" w:ascii="URW Bookman" w:hAnsi="URW Bookman"/>
                <w:i/>
                <w:iCs/>
                <w:color w:val="000000"/>
                <w:kern w:val="0"/>
                <w:sz w:val="16"/>
                <w:szCs w:val="16"/>
                <w:u w:val="none"/>
                <w:shd w:fill="auto" w:val="clear"/>
                <w:lang w:val="en-US" w:eastAsia="en-US" w:bidi="ar-SA"/>
              </w:rPr>
              <w:t>“</w:t>
            </w:r>
            <w:r>
              <w:rPr>
                <w:rStyle w:val="Hyperlink"/>
                <w:rFonts w:eastAsia="Calibri" w:cs="Arial" w:ascii="URW Bookman" w:hAnsi="URW Bookman"/>
                <w:i/>
                <w:iCs/>
                <w:color w:val="000000"/>
                <w:kern w:val="0"/>
                <w:sz w:val="16"/>
                <w:szCs w:val="16"/>
                <w:u w:val="none"/>
                <w:shd w:fill="auto" w:val="clear"/>
                <w:lang w:val="en-US" w:eastAsia="en-US" w:bidi="ar-SA"/>
              </w:rPr>
              <w:t>Consultant” database</w:t>
            </w:r>
          </w:p>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shd w:fill="auto" w:val="clear"/>
                <w:lang w:eastAsia="en-US" w:bidi="ar-SA"/>
              </w:rPr>
              <w:t>https://www.consultant.ru</w:t>
            </w:r>
          </w:p>
        </w:tc>
      </w:tr>
    </w:tbl>
    <w:p>
      <w:pPr>
        <w:pStyle w:val="Normal"/>
        <w:shd w:val="clear" w:fill="FFFFFF"/>
        <w:spacing w:lineRule="auto" w:line="240" w:before="0" w:after="0"/>
        <w:ind w:hanging="0" w:left="0" w:right="0"/>
        <w:rPr>
          <w:rFonts w:ascii="URW Bookman" w:hAnsi="URW Bookman" w:eastAsia="Times New Roman" w:cs="Arial"/>
          <w:b/>
          <w:color w:val="000000"/>
          <w:sz w:val="16"/>
          <w:szCs w:val="16"/>
          <w:highlight w:val="none"/>
          <w:shd w:fill="auto" w:val="clear"/>
        </w:rPr>
      </w:pPr>
      <w:r>
        <w:rPr>
          <w:rFonts w:eastAsia="Times New Roman" w:cs="Arial" w:ascii="URW Bookman" w:hAnsi="URW Bookman"/>
          <w:b/>
          <w:color w:val="000000"/>
          <w:sz w:val="16"/>
          <w:szCs w:val="16"/>
          <w:shd w:fill="auto" w:val="clear"/>
        </w:rPr>
      </w:r>
    </w:p>
    <w:p>
      <w:pPr>
        <w:pStyle w:val="Normal"/>
        <w:widowControl w:val="false"/>
        <w:shd w:val="clear" w:fill="FFFFFF"/>
        <w:spacing w:lineRule="auto" w:line="240" w:before="0" w:after="0"/>
        <w:ind w:hanging="0" w:left="0" w:right="0"/>
        <w:rPr>
          <w:highlight w:val="none"/>
          <w:shd w:fill="auto" w:val="clear"/>
        </w:rPr>
      </w:pPr>
      <w:r>
        <w:rPr>
          <w:rFonts w:eastAsia="Times New Roman" w:cs="Arial" w:ascii="URW Bookman" w:hAnsi="URW Bookman"/>
          <w:b/>
          <w:color w:val="000000"/>
          <w:sz w:val="16"/>
          <w:szCs w:val="16"/>
          <w:shd w:fill="auto" w:val="clear"/>
        </w:rPr>
        <w:t>f. Representation of trade issues</w:t>
      </w:r>
    </w:p>
    <w:p>
      <w:pPr>
        <w:pStyle w:val="Normal"/>
        <w:widowControl w:val="false"/>
        <w:shd w:val="clear" w:fill="FFFFFF"/>
        <w:spacing w:lineRule="auto" w:line="240" w:before="0" w:after="0"/>
        <w:ind w:hanging="0" w:left="0" w:right="0"/>
        <w:rPr>
          <w:rFonts w:ascii="URW Bookman" w:hAnsi="URW Bookman"/>
          <w:color w:val="000000"/>
          <w:sz w:val="16"/>
          <w:szCs w:val="16"/>
          <w:highlight w:val="none"/>
          <w:shd w:fill="auto" w:val="clear"/>
        </w:rPr>
      </w:pPr>
      <w:r>
        <w:rPr>
          <w:rFonts w:ascii="URW Bookman" w:hAnsi="URW Bookman"/>
          <w:color w:val="000000"/>
          <w:sz w:val="16"/>
          <w:szCs w:val="16"/>
          <w:shd w:fill="auto" w:val="clear"/>
        </w:rPr>
      </w:r>
    </w:p>
    <w:p>
      <w:pPr>
        <w:pStyle w:val="Normal"/>
        <w:widowControl w:val="false"/>
        <w:shd w:val="clear" w:fill="FFFFFF"/>
        <w:spacing w:lineRule="auto" w:line="240" w:before="0" w:after="0"/>
        <w:ind w:hanging="0" w:left="0" w:right="0"/>
        <w:rPr>
          <w:rFonts w:ascii="URW Bookman" w:hAnsi="URW Bookman"/>
          <w:color w:val="000000"/>
          <w:sz w:val="16"/>
          <w:szCs w:val="16"/>
          <w:highlight w:val="none"/>
          <w:shd w:fill="auto" w:val="clear"/>
        </w:rPr>
      </w:pPr>
      <w:r>
        <w:rPr>
          <w:rFonts w:ascii="URW Bookman" w:hAnsi="URW Bookman"/>
          <w:color w:val="000000"/>
          <w:sz w:val="16"/>
          <w:szCs w:val="16"/>
          <w:shd w:fill="auto" w:val="clear"/>
        </w:rPr>
      </w:r>
    </w:p>
    <w:tbl>
      <w:tblPr>
        <w:tblW w:w="10209" w:type="dxa"/>
        <w:jc w:val="left"/>
        <w:tblInd w:w="55" w:type="dxa"/>
        <w:tblLayout w:type="fixed"/>
        <w:tblCellMar>
          <w:top w:w="55" w:type="dxa"/>
          <w:left w:w="55" w:type="dxa"/>
          <w:bottom w:w="55" w:type="dxa"/>
          <w:right w:w="55" w:type="dxa"/>
        </w:tblCellMar>
      </w:tblPr>
      <w:tblGrid>
        <w:gridCol w:w="506"/>
        <w:gridCol w:w="1078"/>
        <w:gridCol w:w="1810"/>
        <w:gridCol w:w="977"/>
        <w:gridCol w:w="1173"/>
        <w:gridCol w:w="1169"/>
        <w:gridCol w:w="984"/>
        <w:gridCol w:w="1376"/>
        <w:gridCol w:w="1136"/>
      </w:tblGrid>
      <w:tr>
        <w:trPr/>
        <w:tc>
          <w:tcPr>
            <w:tcW w:w="506"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S. No.</w:t>
            </w:r>
          </w:p>
        </w:tc>
        <w:tc>
          <w:tcPr>
            <w:tcW w:w="1078"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Select Issue Field*</w:t>
            </w:r>
          </w:p>
        </w:tc>
        <w:tc>
          <w:tcPr>
            <w:tcW w:w="1810"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Issues Details</w:t>
            </w:r>
          </w:p>
        </w:tc>
        <w:tc>
          <w:tcPr>
            <w:tcW w:w="977"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HS code</w:t>
            </w:r>
          </w:p>
        </w:tc>
        <w:tc>
          <w:tcPr>
            <w:tcW w:w="1173"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Products Description</w:t>
            </w:r>
          </w:p>
        </w:tc>
        <w:tc>
          <w:tcPr>
            <w:tcW w:w="1169"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Reporting Agency (India)</w:t>
            </w:r>
          </w:p>
        </w:tc>
        <w:tc>
          <w:tcPr>
            <w:tcW w:w="984"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Company/ Exporter Name if any</w:t>
            </w:r>
          </w:p>
        </w:tc>
        <w:tc>
          <w:tcPr>
            <w:tcW w:w="1376"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Status of the Issue#</w:t>
            </w:r>
          </w:p>
        </w:tc>
        <w:tc>
          <w:tcPr>
            <w:tcW w:w="11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Arial" w:ascii="URW Bookman" w:hAnsi="URW Bookman"/>
                <w:b/>
                <w:bCs/>
                <w:sz w:val="14"/>
                <w:szCs w:val="14"/>
                <w:shd w:fill="auto" w:val="clear"/>
              </w:rPr>
              <w:t>Importing Country Authority name and Remarks</w:t>
            </w:r>
          </w:p>
        </w:tc>
      </w:tr>
      <w:tr>
        <w:trPr/>
        <w:tc>
          <w:tcPr>
            <w:tcW w:w="506" w:type="dxa"/>
            <w:tcBorders>
              <w:left w:val="single" w:sz="4" w:space="0" w:color="000000"/>
              <w:bottom w:val="single" w:sz="4" w:space="0" w:color="000000"/>
            </w:tcBorders>
          </w:tcPr>
          <w:p>
            <w:pPr>
              <w:pStyle w:val="Normal"/>
              <w:widowControl w:val="false"/>
              <w:spacing w:lineRule="auto" w:line="240" w:before="0" w:after="0"/>
              <w:jc w:val="center"/>
              <w:rPr>
                <w:rStyle w:val="contentpasted2"/>
                <w:rFonts w:ascii="URW Bookman" w:hAnsi="URW Bookman" w:eastAsia="Times New Roman" w:cs="Arial"/>
                <w:color w:val="000000"/>
                <w:kern w:val="0"/>
                <w:sz w:val="16"/>
                <w:szCs w:val="16"/>
                <w:highlight w:val="none"/>
                <w:shd w:fill="auto" w:val="clear"/>
                <w:lang w:val="en-IN" w:eastAsia="en-IN" w:bidi="ar-SA"/>
              </w:rPr>
            </w:pPr>
            <w:r>
              <w:rPr>
                <w:rStyle w:val="contentpasted2"/>
                <w:rFonts w:eastAsia="Times New Roman" w:cs="Arial" w:ascii="URW Bookman" w:hAnsi="URW Bookman"/>
                <w:color w:val="000000"/>
                <w:kern w:val="0"/>
                <w:sz w:val="16"/>
                <w:szCs w:val="16"/>
                <w:shd w:fill="auto" w:val="clear"/>
                <w:lang w:val="en-IN" w:eastAsia="en-IN" w:bidi="ar-SA"/>
              </w:rPr>
              <w:t>1</w:t>
            </w:r>
          </w:p>
        </w:tc>
        <w:tc>
          <w:tcPr>
            <w:tcW w:w="1078"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Unjustified penalty imposed by Russian tax authorities onto Investment Company LLC “Panama Design”</w:t>
            </w:r>
          </w:p>
        </w:tc>
        <w:tc>
          <w:tcPr>
            <w:tcW w:w="1810"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Unjustified penalty was imposed by Russian tax authorities onto Investment Company LLC “Panama Design” (allegations of business fragmentation)</w:t>
            </w:r>
          </w:p>
        </w:tc>
        <w:tc>
          <w:tcPr>
            <w:tcW w:w="977"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NA</w:t>
            </w:r>
          </w:p>
        </w:tc>
        <w:tc>
          <w:tcPr>
            <w:tcW w:w="1173"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Multiple</w:t>
            </w:r>
          </w:p>
        </w:tc>
        <w:tc>
          <w:tcPr>
            <w:tcW w:w="1169"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NA</w:t>
            </w:r>
          </w:p>
        </w:tc>
        <w:tc>
          <w:tcPr>
            <w:tcW w:w="984"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NA</w:t>
            </w:r>
          </w:p>
        </w:tc>
        <w:tc>
          <w:tcPr>
            <w:tcW w:w="1376" w:type="dxa"/>
            <w:tcBorders>
              <w:left w:val="single" w:sz="4" w:space="0" w:color="000000"/>
              <w:bottom w:val="single" w:sz="4" w:space="0" w:color="000000"/>
            </w:tcBorders>
          </w:tcPr>
          <w:p>
            <w:pPr>
              <w:pStyle w:val="Normal"/>
              <w:widowControl w:val="false"/>
              <w:spacing w:lineRule="auto" w:line="240" w:before="0" w:after="0"/>
              <w:jc w:val="center"/>
              <w:rPr/>
            </w:pPr>
            <w:r>
              <w:rPr>
                <w:rStyle w:val="contentpasted2"/>
                <w:rFonts w:eastAsia="Times New Roman" w:cs="Arial" w:ascii="URW Bookman" w:hAnsi="URW Bookman"/>
                <w:color w:val="000000"/>
                <w:kern w:val="0"/>
                <w:sz w:val="16"/>
                <w:szCs w:val="16"/>
                <w:shd w:fill="auto" w:val="clear"/>
                <w:lang w:val="en-IN" w:eastAsia="en-IN" w:bidi="ar-SA"/>
              </w:rPr>
              <w:t>The penalty has been revised by the Federal Customs Service and reduced significantly (from 358 Million Rubles to approx. 150 Million Rubles)</w:t>
            </w:r>
          </w:p>
        </w:tc>
        <w:tc>
          <w:tcPr>
            <w:tcW w:w="1136"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Style w:val="contentpasted2"/>
                <w:rFonts w:ascii="URW Bookman" w:hAnsi="URW Bookman" w:eastAsia="Times New Roman" w:cs="Arial"/>
                <w:color w:val="000000"/>
                <w:kern w:val="0"/>
                <w:sz w:val="16"/>
                <w:szCs w:val="16"/>
                <w:shd w:fill="auto" w:val="clear"/>
                <w:lang w:val="en-IN" w:eastAsia="en-IN" w:bidi="ar-SA"/>
              </w:rPr>
            </w:pPr>
            <w:r>
              <w:rPr>
                <w:rStyle w:val="contentpasted2"/>
                <w:rFonts w:eastAsia="Times New Roman" w:cs="Arial" w:ascii="URW Bookman" w:hAnsi="URW Bookman"/>
                <w:color w:val="000000"/>
                <w:kern w:val="0"/>
                <w:sz w:val="16"/>
                <w:szCs w:val="16"/>
                <w:shd w:fill="auto" w:val="clear"/>
                <w:lang w:val="en-IN" w:eastAsia="en-IN" w:bidi="ar-SA"/>
              </w:rPr>
              <w:t>A letter has been issued to Federal Tax Service requesting complete cancellation of the penalty</w:t>
            </w:r>
          </w:p>
        </w:tc>
      </w:tr>
    </w:tbl>
    <w:p>
      <w:pPr>
        <w:pStyle w:val="Normal"/>
        <w:numPr>
          <w:ilvl w:val="0"/>
          <w:numId w:val="0"/>
        </w:numPr>
        <w:spacing w:lineRule="auto" w:line="240" w:before="0" w:after="0"/>
        <w:ind w:hanging="0" w:left="0" w:right="0"/>
        <w:outlineLvl w:val="0"/>
        <w:rPr>
          <w:highlight w:val="none"/>
          <w:shd w:fill="auto" w:val="clear"/>
        </w:rPr>
      </w:pPr>
      <w:r>
        <mc:AlternateContent>
          <mc:Choice Requires="wps">
            <w:drawing>
              <wp:anchor behindDoc="0" distT="0" distB="635" distL="62865" distR="114300" simplePos="0" locked="0" layoutInCell="0" allowOverlap="1" relativeHeight="2">
                <wp:simplePos x="0" y="0"/>
                <wp:positionH relativeFrom="column">
                  <wp:posOffset>291465</wp:posOffset>
                </wp:positionH>
                <wp:positionV relativeFrom="paragraph">
                  <wp:posOffset>81915</wp:posOffset>
                </wp:positionV>
                <wp:extent cx="6009005" cy="11131550"/>
                <wp:effectExtent l="0" t="0" r="0" b="0"/>
                <wp:wrapSquare wrapText="bothSides"/>
                <wp:docPr id="1" name="Frame1"/>
                <a:graphic xmlns:a="http://schemas.openxmlformats.org/drawingml/2006/main">
                  <a:graphicData uri="http://schemas.microsoft.com/office/word/2010/wordprocessingShape">
                    <wps:wsp>
                      <wps:cNvSpPr/>
                      <wps:spPr>
                        <a:xfrm>
                          <a:off x="0" y="0"/>
                          <a:ext cx="6009120" cy="11131560"/>
                        </a:xfrm>
                        <a:prstGeom prst="rect">
                          <a:avLst/>
                        </a:prstGeom>
                        <a:noFill/>
                        <a:ln w="0">
                          <a:noFill/>
                        </a:ln>
                      </wps:spPr>
                      <wps:style>
                        <a:lnRef idx="0"/>
                        <a:fillRef idx="0"/>
                        <a:effectRef idx="0"/>
                        <a:fontRef idx="minor"/>
                      </wps:style>
                      <wps:txbx>
                        <w:txbxContent>
                          <w:p>
                            <w:pPr>
                              <w:pStyle w:val="FrameContentsuser"/>
                              <w:spacing w:before="0" w:after="200"/>
                              <w:rPr>
                                <w:color w:val="000000"/>
                              </w:rPr>
                            </w:pPr>
                            <w:r>
                              <w:rPr>
                                <w:color w:val="000000"/>
                              </w:rPr>
                            </w:r>
                          </w:p>
                        </w:txbxContent>
                      </wps:txbx>
                      <wps:bodyPr lIns="0" rIns="0" tIns="0" bIns="0" anchor="t">
                        <a:noAutofit/>
                      </wps:bodyPr>
                    </wps:wsp>
                  </a:graphicData>
                </a:graphic>
              </wp:anchor>
            </w:drawing>
          </mc:Choice>
          <mc:Fallback>
            <w:pict>
              <v:rect id="shape_0" ID="Frame1" path="m0,0l-2147483645,0l-2147483645,-2147483646l0,-2147483646xe" stroked="f" o:allowincell="f" style="position:absolute;margin-left:22.95pt;margin-top:6.45pt;width:473.1pt;height:876.45pt;mso-wrap-style:none;v-text-anchor:middle">
                <v:fill o:detectmouseclick="t" on="false"/>
                <v:stroke color="#3465a4" joinstyle="round" endcap="flat"/>
                <v:textbox>
                  <w:txbxContent>
                    <w:p>
                      <w:pPr>
                        <w:pStyle w:val="FrameContentsuser"/>
                        <w:spacing w:before="0" w:after="200"/>
                        <w:rPr>
                          <w:color w:val="000000"/>
                        </w:rPr>
                      </w:pPr>
                      <w:r>
                        <w:rPr>
                          <w:color w:val="000000"/>
                        </w:rPr>
                      </w:r>
                    </w:p>
                  </w:txbxContent>
                </v:textbox>
                <w10:wrap type="square"/>
              </v:rect>
            </w:pict>
          </mc:Fallback>
        </mc:AlternateContent>
      </w:r>
      <w:r>
        <w:rPr>
          <w:rFonts w:cs="Arial" w:ascii="URW Bookman" w:hAnsi="URW Bookman"/>
          <w:b/>
          <w:color w:val="000000"/>
          <w:sz w:val="16"/>
          <w:szCs w:val="16"/>
          <w:shd w:fill="auto" w:val="clear"/>
        </w:rPr>
        <w:t>Note</w:t>
      </w:r>
    </w:p>
    <w:p>
      <w:pPr>
        <w:pStyle w:val="NormalWeb"/>
        <w:shd w:val="clear" w:fill="FFFFFF"/>
        <w:spacing w:lineRule="auto" w:line="240" w:before="0" w:after="0"/>
        <w:ind w:hanging="0" w:left="0" w:right="0"/>
        <w:rPr/>
      </w:pPr>
      <w:r>
        <w:rPr>
          <w:rStyle w:val="contentpasted2"/>
          <w:rFonts w:cs="Arial" w:ascii="URW Bookman" w:hAnsi="URW Bookman"/>
          <w:color w:val="000000"/>
          <w:sz w:val="16"/>
          <w:szCs w:val="16"/>
          <w:shd w:fill="auto" w:val="clear"/>
        </w:rPr>
        <w:t>* Issue Selection Fields - Tariff/Non-Tariff Barriers/ Trade Remedies/ Customs Clearance/ Others</w:t>
      </w:r>
    </w:p>
    <w:p>
      <w:pPr>
        <w:pStyle w:val="NormalWeb"/>
        <w:shd w:val="clear" w:fill="FFFFFF"/>
        <w:spacing w:lineRule="auto" w:line="240" w:before="0" w:after="0"/>
        <w:ind w:hanging="0" w:left="0" w:right="0"/>
        <w:rPr/>
      </w:pPr>
      <w:r>
        <w:rPr>
          <w:rStyle w:val="contentpasted2"/>
          <w:rFonts w:cs="Arial" w:ascii="URW Bookman" w:hAnsi="URW Bookman"/>
          <w:color w:val="000000"/>
          <w:sz w:val="16"/>
          <w:szCs w:val="16"/>
          <w:shd w:fill="auto" w:val="clear"/>
        </w:rPr>
        <w:t># Status of Issue selection fields – Three fields (Forwarded to Concerned Authority/ Under Discussion/ Resolved)</w:t>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Records of E&amp;C Wing</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outlineLvl w:val="0"/>
        <w:rPr>
          <w:highlight w:val="none"/>
          <w:shd w:fill="auto" w:val="clear"/>
        </w:rPr>
      </w:pPr>
      <w:r>
        <w:rPr>
          <w:rFonts w:cs="Arial" w:ascii="URW Bookman" w:hAnsi="URW Bookman"/>
          <w:b/>
          <w:color w:val="000000"/>
          <w:sz w:val="16"/>
          <w:szCs w:val="16"/>
          <w:shd w:fill="auto" w:val="clear"/>
        </w:rPr>
        <w:t>B. Stakeholders’ Feedback and Action Taken</w:t>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rPr>
          <w:highlight w:val="none"/>
          <w:shd w:fill="auto" w:val="clear"/>
        </w:rPr>
      </w:pPr>
      <w:r>
        <w:rPr>
          <w:rFonts w:cs="Arial" w:ascii="URW Bookman" w:hAnsi="URW Bookman"/>
          <w:b/>
          <w:bCs/>
          <w:color w:val="000000"/>
          <w:sz w:val="16"/>
          <w:szCs w:val="16"/>
          <w:shd w:fill="auto" w:val="clear"/>
        </w:rPr>
        <w:t>a. Feedback from major Indian industries/other commercial concerns and Indian trade visitors to that country</w:t>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10075" w:type="dxa"/>
        <w:jc w:val="left"/>
        <w:tblInd w:w="79" w:type="dxa"/>
        <w:tblLayout w:type="fixed"/>
        <w:tblCellMar>
          <w:top w:w="0" w:type="dxa"/>
          <w:left w:w="108" w:type="dxa"/>
          <w:bottom w:w="0" w:type="dxa"/>
          <w:right w:w="108" w:type="dxa"/>
        </w:tblCellMar>
      </w:tblPr>
      <w:tblGrid>
        <w:gridCol w:w="469"/>
        <w:gridCol w:w="1173"/>
        <w:gridCol w:w="840"/>
        <w:gridCol w:w="2932"/>
        <w:gridCol w:w="4661"/>
      </w:tblGrid>
      <w:tr>
        <w:trPr/>
        <w:tc>
          <w:tcPr>
            <w:tcW w:w="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S. No.</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Name of the Firm/ Company</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Sector</w:t>
            </w:r>
          </w:p>
        </w:tc>
        <w:tc>
          <w:tcPr>
            <w:tcW w:w="29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Trade barrier issues if any (incl. HS codes)</w:t>
            </w:r>
          </w:p>
        </w:tc>
        <w:tc>
          <w:tcPr>
            <w:tcW w:w="46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General Feedback</w:t>
            </w:r>
          </w:p>
          <w:p>
            <w:pPr>
              <w:pStyle w:val="Normal"/>
              <w:widowControl w:val="false"/>
              <w:spacing w:lineRule="auto" w:line="240" w:before="0" w:after="0"/>
              <w:ind w:hanging="0" w:left="0" w:right="0"/>
              <w:jc w:val="both"/>
              <w:rPr>
                <w:highlight w:val="none"/>
                <w:shd w:fill="auto" w:val="clear"/>
              </w:rPr>
            </w:pPr>
            <w:r>
              <w:rPr>
                <w:rFonts w:cs="Arial" w:ascii="URW Bookman" w:hAnsi="URW Bookman"/>
                <w:b/>
                <w:bCs/>
                <w:color w:val="000000"/>
                <w:sz w:val="16"/>
                <w:szCs w:val="16"/>
                <w:shd w:fill="auto" w:val="clear"/>
              </w:rPr>
              <w:t>(Max.200 words)</w:t>
            </w:r>
          </w:p>
          <w:p>
            <w:pPr>
              <w:pStyle w:val="Normal"/>
              <w:widowControl w:val="false"/>
              <w:spacing w:lineRule="auto" w:line="240" w:before="0" w:after="0"/>
              <w:ind w:hanging="0" w:left="0" w:right="0"/>
              <w:jc w:val="both"/>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color w:val="000000"/>
                <w:sz w:val="16"/>
                <w:szCs w:val="16"/>
                <w:highlight w:val="none"/>
                <w:shd w:fill="auto" w:val="clear"/>
              </w:rPr>
            </w:pPr>
            <w:r>
              <w:rPr>
                <w:rFonts w:ascii="URW Bookman" w:hAnsi="URW Bookman"/>
                <w:color w:val="000000"/>
                <w:sz w:val="16"/>
                <w:szCs w:val="16"/>
                <w:shd w:fill="auto" w:val="clear"/>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Many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Multiple sectors</w:t>
            </w:r>
          </w:p>
        </w:tc>
        <w:tc>
          <w:tcPr>
            <w:tcW w:w="2932" w:type="dxa"/>
            <w:tcBorders>
              <w:left w:val="single" w:sz="4" w:space="0" w:color="000000"/>
              <w:bottom w:val="single" w:sz="4" w:space="0" w:color="000000"/>
              <w:right w:val="single" w:sz="4" w:space="0" w:color="000000"/>
            </w:tcBorders>
          </w:tcPr>
          <w:p>
            <w:pPr>
              <w:pStyle w:val="NormalWeb"/>
              <w:widowControl w:val="false"/>
              <w:spacing w:lineRule="auto" w:line="240" w:before="0" w:after="0"/>
              <w:ind w:hanging="0" w:left="0" w:right="0"/>
              <w:jc w:val="both"/>
              <w:rPr>
                <w:rFonts w:ascii="Times New Roman" w:hAnsi="Times New Roman"/>
                <w:sz w:val="18"/>
                <w:szCs w:val="18"/>
              </w:rPr>
            </w:pPr>
            <w:r>
              <w:rPr>
                <w:sz w:val="18"/>
                <w:szCs w:val="18"/>
              </w:rPr>
              <w:t>NTBs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b w:val="false"/>
                <w:i w:val="false"/>
                <w:i w:val="false"/>
                <w:caps w:val="false"/>
                <w:smallCaps w:val="false"/>
                <w:color w:val="000000"/>
                <w:spacing w:val="0"/>
                <w:sz w:val="18"/>
                <w:szCs w:val="18"/>
              </w:rPr>
            </w:pPr>
            <w:r>
              <w:rPr>
                <w:rFonts w:ascii="times new roman" w:hAnsi="times new roman"/>
                <w:b w:val="false"/>
                <w:i w:val="false"/>
                <w:caps w:val="false"/>
                <w:smallCaps w:val="false"/>
                <w:color w:val="000000"/>
                <w:spacing w:val="0"/>
                <w:sz w:val="18"/>
                <w:szCs w:val="18"/>
              </w:rPr>
              <w:t>Joint Secretary, Department of Commerce met with the Director, Department of bipartite cooperation of Ministry of Economic Development of Russian Federation and handed over a non paper on NTBs on June 25, 2026.</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color w:val="000000"/>
                <w:sz w:val="16"/>
                <w:szCs w:val="16"/>
                <w:highlight w:val="none"/>
                <w:shd w:fill="auto" w:val="clear"/>
              </w:rPr>
            </w:pPr>
            <w:r>
              <w:rPr>
                <w:rFonts w:ascii="URW Bookman" w:hAnsi="URW Bookman"/>
                <w:color w:val="000000"/>
                <w:sz w:val="16"/>
                <w:szCs w:val="16"/>
                <w:shd w:fill="auto" w:val="clear"/>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Indian exporters of tea in common</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Tea</w:t>
            </w:r>
          </w:p>
        </w:tc>
        <w:tc>
          <w:tcPr>
            <w:tcW w:w="2932" w:type="dxa"/>
            <w:tcBorders>
              <w:left w:val="single" w:sz="4" w:space="0" w:color="000000"/>
              <w:bottom w:val="single" w:sz="4" w:space="0" w:color="000000"/>
              <w:right w:val="single" w:sz="4" w:space="0" w:color="000000"/>
            </w:tcBorders>
          </w:tcPr>
          <w:p>
            <w:pPr>
              <w:pStyle w:val="NormalWeb"/>
              <w:widowControl w:val="false"/>
              <w:spacing w:lineRule="auto" w:line="240" w:before="0" w:after="0"/>
              <w:ind w:hanging="0" w:left="0" w:right="0"/>
              <w:jc w:val="both"/>
              <w:rPr>
                <w:rFonts w:ascii="Times New Roman" w:hAnsi="Times New Roman"/>
                <w:sz w:val="18"/>
                <w:szCs w:val="18"/>
              </w:rPr>
            </w:pPr>
            <w:r>
              <w:rPr>
                <w:sz w:val="18"/>
                <w:szCs w:val="18"/>
              </w:rPr>
              <w:t>Adulteration of tea and branding them as Indian tea varieties.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b w:val="false"/>
                <w:i w:val="false"/>
                <w:i w:val="false"/>
                <w:caps w:val="false"/>
                <w:smallCaps w:val="false"/>
                <w:color w:val="000000"/>
                <w:spacing w:val="0"/>
                <w:sz w:val="18"/>
                <w:szCs w:val="18"/>
              </w:rPr>
            </w:pPr>
            <w:r>
              <w:rPr>
                <w:rFonts w:ascii="times new roman" w:hAnsi="times new roman"/>
                <w:b w:val="false"/>
                <w:i w:val="false"/>
                <w:caps w:val="false"/>
                <w:smallCaps w:val="false"/>
                <w:color w:val="000000"/>
                <w:spacing w:val="0"/>
                <w:sz w:val="18"/>
                <w:szCs w:val="18"/>
              </w:rPr>
              <w:t>The exporters have raised an issue of adulteration of Indian tea in the Russian Federation. The Embassy took note of the issue and arranged for a meeting with Ros patent of Russian Federation along with DoC Ministry of India to find a way to protect Indian tea. it was suggested that India Tea which is registered trademark should be used in Russian courts to press charges against fake entities and the geographical indications be registered with the Russian Rospatent</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color w:val="000000"/>
                <w:sz w:val="16"/>
                <w:szCs w:val="16"/>
                <w:highlight w:val="none"/>
                <w:shd w:fill="auto" w:val="clear"/>
              </w:rPr>
            </w:pPr>
            <w:r>
              <w:rPr>
                <w:rFonts w:ascii="URW Bookman" w:hAnsi="URW Bookman"/>
                <w:color w:val="000000"/>
                <w:sz w:val="16"/>
                <w:szCs w:val="16"/>
                <w:shd w:fill="auto" w:val="clear"/>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UPL</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Seeds</w:t>
            </w:r>
          </w:p>
        </w:tc>
        <w:tc>
          <w:tcPr>
            <w:tcW w:w="2932" w:type="dxa"/>
            <w:tcBorders>
              <w:left w:val="single" w:sz="4" w:space="0" w:color="000000"/>
              <w:bottom w:val="single" w:sz="4" w:space="0" w:color="000000"/>
              <w:right w:val="single" w:sz="4" w:space="0" w:color="000000"/>
            </w:tcBorders>
          </w:tcPr>
          <w:p>
            <w:pPr>
              <w:pStyle w:val="NormalWeb"/>
              <w:widowControl w:val="false"/>
              <w:spacing w:lineRule="auto" w:line="240" w:before="0" w:after="0"/>
              <w:ind w:hanging="0" w:left="0" w:right="0"/>
              <w:jc w:val="both"/>
              <w:rPr>
                <w:rFonts w:ascii="Times New Roman" w:hAnsi="Times New Roman"/>
                <w:sz w:val="18"/>
                <w:szCs w:val="18"/>
              </w:rPr>
            </w:pPr>
            <w:r>
              <w:rPr>
                <w:sz w:val="18"/>
                <w:szCs w:val="18"/>
              </w:rPr>
              <w:t>UPL was facing the of barriers while exporting seeds from India.</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rFonts w:ascii="Times New Roman" w:hAnsi="Times New Roman"/>
                <w:sz w:val="18"/>
                <w:szCs w:val="18"/>
              </w:rPr>
            </w:pPr>
            <w:r>
              <w:rPr>
                <w:sz w:val="18"/>
                <w:szCs w:val="18"/>
              </w:rPr>
              <w:t>The issue has been raised with FSVPS which required mandatory audit of seed lab for exporting seeds into Russia. The same was informed to the Ministry of Agriculture in India. The required audit of the seed lab of parent company in India has been undertaken and the result has been shared with FSVPS in form of NV.</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color w:val="000000"/>
                <w:sz w:val="16"/>
                <w:szCs w:val="16"/>
                <w:highlight w:val="none"/>
                <w:shd w:fill="auto" w:val="clear"/>
              </w:rPr>
            </w:pPr>
            <w:r>
              <w:rPr>
                <w:rFonts w:ascii="URW Bookman" w:hAnsi="URW Bookman"/>
                <w:color w:val="000000"/>
                <w:sz w:val="16"/>
                <w:szCs w:val="16"/>
                <w:shd w:fill="auto" w:val="clear"/>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ascii="URW Bookman" w:hAnsi="URW Bookman"/>
                <w:color w:val="000000"/>
                <w:sz w:val="16"/>
                <w:szCs w:val="16"/>
                <w:shd w:fill="auto" w:val="clear"/>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Dairy products, cheese</w:t>
            </w:r>
          </w:p>
        </w:tc>
        <w:tc>
          <w:tcPr>
            <w:tcW w:w="2932" w:type="dxa"/>
            <w:tcBorders>
              <w:left w:val="single" w:sz="4" w:space="0" w:color="000000"/>
              <w:bottom w:val="single" w:sz="4" w:space="0" w:color="000000"/>
              <w:right w:val="single" w:sz="4" w:space="0" w:color="000000"/>
            </w:tcBorders>
          </w:tcPr>
          <w:p>
            <w:pPr>
              <w:pStyle w:val="NormalWeb"/>
              <w:widowControl w:val="false"/>
              <w:spacing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Dairy products HS0406</w:t>
            </w:r>
          </w:p>
          <w:p>
            <w:pPr>
              <w:pStyle w:val="NormalWeb"/>
              <w:widowControl w:val="false"/>
              <w:spacing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Delay in listing of a number of Indian dairy producers.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Prohibition of dairy from facilities not pre-approved by FSVPS. FSVPS approved two dairy plants after a November 2014 physical inspection but kept them suspended until Apr 2023. In 2024, India sought listing of six EIC-approved plants; FSVPS listed only one with a "special requirement" and is withholding the rest pending fresh physical inspections. As of now 11 dairy establishments await listing on the FSVPS website. There is a need for listing within a period of 3 months and completing inspections within that timeframe.</w:t>
            </w:r>
          </w:p>
          <w:p>
            <w:pPr>
              <w:pStyle w:val="Normal"/>
              <w:widowControl w:val="false"/>
              <w:spacing w:lineRule="auto" w:line="240" w:before="0" w:after="0"/>
              <w:ind w:hanging="0" w:left="0" w:right="0"/>
              <w:jc w:val="both"/>
              <w:rPr>
                <w:rFonts w:ascii="URW Bookman" w:hAnsi="URW Bookman"/>
                <w:color w:val="000000"/>
                <w:sz w:val="16"/>
                <w:szCs w:val="16"/>
                <w:highlight w:val="none"/>
                <w:shd w:fill="auto" w:val="clear"/>
              </w:rPr>
            </w:pPr>
            <w:r>
              <w:rPr>
                <w:rFonts w:ascii="URW Bookman" w:hAnsi="URW Bookman"/>
                <w:color w:val="000000"/>
                <w:sz w:val="16"/>
                <w:szCs w:val="16"/>
                <w:shd w:fill="auto" w:val="clear"/>
              </w:rPr>
            </w:r>
          </w:p>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color w:val="000000"/>
                <w:kern w:val="0"/>
                <w:sz w:val="16"/>
                <w:szCs w:val="16"/>
                <w:shd w:fill="auto" w:val="clear"/>
                <w:lang w:val="en-US" w:eastAsia="en-US" w:bidi="ar-SA"/>
              </w:rPr>
              <w:t>On 21 October 2025, t</w:t>
            </w:r>
            <w:r>
              <w:rPr>
                <w:rFonts w:eastAsia="Calibri" w:cs="Times New Roman" w:ascii="URW Bookman" w:hAnsi="URW Bookman"/>
                <w:b w:val="false"/>
                <w:bCs w:val="false"/>
                <w:color w:val="000000"/>
                <w:kern w:val="0"/>
                <w:sz w:val="16"/>
                <w:szCs w:val="16"/>
                <w:shd w:fill="auto" w:val="clear"/>
                <w:lang w:val="en-US" w:eastAsia="en-US" w:bidi="ar-SA"/>
              </w:rPr>
              <w:t>he FSVPS has registered new enterprises 6 dairy and the inspection of 11 dairy enterprises is undergoing since 27 October 2025.</w:t>
            </w:r>
          </w:p>
          <w:p>
            <w:pPr>
              <w:pStyle w:val="NormalWeb"/>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side proposed that a system based approach should be followed by the FSVPS in place of individual enterprise based audit for the registration for export to the Russian Federation.</w:t>
            </w:r>
          </w:p>
          <w:p>
            <w:pPr>
              <w:pStyle w:val="NormalWeb"/>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During the meeting with JS(FTCIS) on 14</w:t>
            </w:r>
            <w:r>
              <w:rPr>
                <w:rFonts w:eastAsia="Times New Roman" w:cs="Times New Roman" w:ascii="URW Bookman" w:hAnsi="URW Bookman"/>
                <w:b w:val="false"/>
                <w:bCs w:val="false"/>
                <w:color w:val="000000"/>
                <w:kern w:val="0"/>
                <w:sz w:val="16"/>
                <w:szCs w:val="16"/>
                <w:shd w:fill="auto" w:val="clear"/>
                <w:vertAlign w:val="superscript"/>
                <w:lang w:val="en-IN" w:eastAsia="en-IN" w:bidi="ar-SA"/>
              </w:rPr>
              <w:t>th</w:t>
            </w:r>
            <w:r>
              <w:rPr>
                <w:rFonts w:eastAsia="Times New Roman" w:cs="Times New Roman" w:ascii="URW Bookman" w:hAnsi="URW Bookman"/>
                <w:b w:val="false"/>
                <w:bCs w:val="false"/>
                <w:color w:val="000000"/>
                <w:kern w:val="0"/>
                <w:sz w:val="16"/>
                <w:szCs w:val="16"/>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color w:val="000000"/>
                <w:sz w:val="16"/>
                <w:szCs w:val="16"/>
                <w:highlight w:val="none"/>
                <w:shd w:fill="auto" w:val="clear"/>
              </w:rPr>
            </w:pPr>
            <w:r>
              <w:rPr>
                <w:rFonts w:ascii="URW Bookman" w:hAnsi="URW Bookman"/>
                <w:color w:val="000000"/>
                <w:sz w:val="16"/>
                <w:szCs w:val="16"/>
                <w:shd w:fill="auto" w:val="clear"/>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ascii="URW Bookman" w:hAnsi="URW Bookman"/>
                <w:color w:val="000000"/>
                <w:sz w:val="16"/>
                <w:szCs w:val="16"/>
                <w:shd w:fill="auto" w:val="clear"/>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Egg products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Egg products HS0406</w:t>
            </w:r>
          </w:p>
          <w:p>
            <w:pPr>
              <w:pStyle w:val="NormalWeb"/>
              <w:widowControl w:val="false"/>
              <w:spacing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Russia has approved and listed four egg product establishments from India, significantly limiting the ability of Indian businesses to export these products.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ascii="URW Bookman" w:hAnsi="URW Bookman"/>
                <w:color w:val="000000"/>
                <w:sz w:val="16"/>
                <w:szCs w:val="16"/>
                <w:shd w:fill="auto" w:val="clear"/>
              </w:rPr>
              <w:t>As per the Russian side, of 4 allowed Indian companies, only 2 are carrying out deliveries, and in minimal volumes. Russian side is ready to consider enlisting new companies in accordance with EAEU procedures.</w:t>
            </w:r>
          </w:p>
          <w:p>
            <w:pPr>
              <w:pStyle w:val="NormalWeb"/>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During the meeting with JS(FTCIS) on 14</w:t>
            </w:r>
            <w:r>
              <w:rPr>
                <w:rFonts w:eastAsia="Times New Roman" w:cs="Times New Roman" w:ascii="URW Bookman" w:hAnsi="URW Bookman"/>
                <w:b w:val="false"/>
                <w:bCs w:val="false"/>
                <w:color w:val="000000"/>
                <w:kern w:val="0"/>
                <w:sz w:val="16"/>
                <w:szCs w:val="16"/>
                <w:shd w:fill="auto" w:val="clear"/>
                <w:vertAlign w:val="superscript"/>
                <w:lang w:val="en-IN" w:eastAsia="en-IN" w:bidi="ar-SA"/>
              </w:rPr>
              <w:t>th</w:t>
            </w:r>
            <w:r>
              <w:rPr>
                <w:rFonts w:eastAsia="Times New Roman" w:cs="Times New Roman" w:ascii="URW Bookman" w:hAnsi="URW Bookman"/>
                <w:b w:val="false"/>
                <w:bCs w:val="false"/>
                <w:color w:val="000000"/>
                <w:kern w:val="0"/>
                <w:sz w:val="16"/>
                <w:szCs w:val="16"/>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color w:val="000000"/>
                <w:sz w:val="16"/>
                <w:szCs w:val="16"/>
                <w:highlight w:val="none"/>
                <w:shd w:fill="auto" w:val="clear"/>
              </w:rPr>
            </w:pPr>
            <w:r>
              <w:rPr>
                <w:rFonts w:ascii="URW Bookman" w:hAnsi="URW Bookman"/>
                <w:color w:val="000000"/>
                <w:sz w:val="16"/>
                <w:szCs w:val="16"/>
                <w:shd w:fill="auto" w:val="clear"/>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ascii="URW Bookman" w:hAnsi="URW Bookman"/>
                <w:color w:val="000000"/>
                <w:sz w:val="16"/>
                <w:szCs w:val="16"/>
                <w:shd w:fill="auto" w:val="clear"/>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Buffalo meat</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Buffalo meat HS0202</w:t>
            </w:r>
          </w:p>
          <w:p>
            <w:pPr>
              <w:pStyle w:val="NormalWeb"/>
              <w:widowControl w:val="false"/>
              <w:spacing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To date, 16 applications regarding approval of Indian buffalo meat producers remain pending.</w:t>
            </w:r>
          </w:p>
          <w:p>
            <w:pPr>
              <w:pStyle w:val="NormalWeb"/>
              <w:widowControl w:val="false"/>
              <w:spacing w:before="0" w:after="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Furthermore, FSVPS is requested to lift the temporary restrictions imposed since 11.06.2015 on the following three already approved meat establishments located in the state of Uttar Pradesh:</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ascii="URW Bookman" w:hAnsi="URW Bookman"/>
                <w:color w:val="000000"/>
                <w:sz w:val="16"/>
                <w:szCs w:val="16"/>
                <w:shd w:fill="auto" w:val="clear"/>
              </w:rPr>
              <w:t>As per the Russian side, India does not have WOAH status allowing it to export a large range of livestock products to third countries</w:t>
            </w:r>
            <w:r>
              <w:rPr>
                <w:rFonts w:eastAsia="Calibri" w:cs="Times New Roman" w:ascii="URW Bookman" w:hAnsi="URW Bookman"/>
                <w:color w:val="000000"/>
                <w:kern w:val="0"/>
                <w:sz w:val="16"/>
                <w:szCs w:val="16"/>
                <w:shd w:fill="auto" w:val="clear"/>
                <w:lang w:val="en-US" w:eastAsia="en-US" w:bidi="ar-SA"/>
              </w:rPr>
              <w:t xml:space="preserve">. </w:t>
            </w:r>
            <w:r>
              <w:rPr>
                <w:rFonts w:eastAsia="Calibri" w:cs="Times New Roman" w:ascii="URW Bookman" w:hAnsi="URW Bookman"/>
                <w:b w:val="false"/>
                <w:bCs w:val="false"/>
                <w:color w:val="000000"/>
                <w:kern w:val="0"/>
                <w:sz w:val="16"/>
                <w:szCs w:val="16"/>
                <w:shd w:fill="auto" w:val="clear"/>
                <w:lang w:val="en-US" w:eastAsia="en-US" w:bidi="ar-SA"/>
              </w:rPr>
              <w:t>The FSVPS has registered 5 new bovine meat enterprises and lift restrictions of 2 bovine meat exporters.</w:t>
            </w:r>
          </w:p>
          <w:p>
            <w:pPr>
              <w:pStyle w:val="NormalWeb"/>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side proposed that a system based approach should be followed by the FSVPS in place of individual enterprise based audit for the registration for export to the Russian Federation.</w:t>
            </w:r>
          </w:p>
          <w:p>
            <w:pPr>
              <w:pStyle w:val="NormalWeb"/>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During the meeting with JS(FTCIS) on 14</w:t>
            </w:r>
            <w:r>
              <w:rPr>
                <w:rFonts w:eastAsia="Times New Roman" w:cs="Times New Roman" w:ascii="URW Bookman" w:hAnsi="URW Bookman"/>
                <w:b w:val="false"/>
                <w:bCs w:val="false"/>
                <w:color w:val="000000"/>
                <w:kern w:val="0"/>
                <w:sz w:val="16"/>
                <w:szCs w:val="16"/>
                <w:shd w:fill="auto" w:val="clear"/>
                <w:vertAlign w:val="superscript"/>
                <w:lang w:val="en-IN" w:eastAsia="en-IN" w:bidi="ar-SA"/>
              </w:rPr>
              <w:t>th</w:t>
            </w:r>
            <w:r>
              <w:rPr>
                <w:rFonts w:eastAsia="Times New Roman" w:cs="Times New Roman" w:ascii="URW Bookman" w:hAnsi="URW Bookman"/>
                <w:b w:val="false"/>
                <w:bCs w:val="false"/>
                <w:color w:val="000000"/>
                <w:kern w:val="0"/>
                <w:sz w:val="16"/>
                <w:szCs w:val="16"/>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Seafood</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Shrimps HS0306</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exporters are unable to have their establishments listed on the FSVPS website even after being approved by EIC (only 3 were listed in 2023 and 2 in 2024, while 69 are pending).</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Revocation of suspension:</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Upon submission of investigation reports for consignments that were rejected, Russia has not revoked the suspensions and continues to keep the establishments under temporary restriction (31 units). Russia is requested to consider the investigation reports submitted by EIC and revoke the suspensions within a stipulated time frame.</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 EAM handed over a list of 69 marine enterprises awaiting registration with the FSVPs to the FDPM Denis Manturov.</w:t>
            </w:r>
          </w:p>
          <w:p>
            <w:pPr>
              <w:pStyle w:val="Normal"/>
              <w:widowControl w:val="false"/>
              <w:spacing w:lineRule="auto" w:line="240" w:before="0" w:after="0"/>
              <w:ind w:hanging="0" w:left="0" w:right="0"/>
              <w:jc w:val="both"/>
              <w:rPr>
                <w:rFonts w:ascii="URW Bookman" w:hAnsi="URW Bookman"/>
                <w:color w:val="000000"/>
                <w:sz w:val="16"/>
                <w:szCs w:val="16"/>
                <w:highlight w:val="none"/>
                <w:shd w:fill="auto" w:val="clear"/>
              </w:rPr>
            </w:pPr>
            <w:r>
              <w:rPr>
                <w:rFonts w:ascii="URW Bookman" w:hAnsi="URW Bookman"/>
                <w:color w:val="000000"/>
                <w:sz w:val="16"/>
                <w:szCs w:val="16"/>
                <w:shd w:fill="auto" w:val="clear"/>
              </w:rPr>
            </w:r>
          </w:p>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color w:val="000000"/>
                <w:kern w:val="0"/>
                <w:sz w:val="16"/>
                <w:szCs w:val="16"/>
                <w:shd w:fill="auto" w:val="clear"/>
                <w:lang w:val="en-US" w:eastAsia="en-US" w:bidi="ar-SA"/>
              </w:rPr>
              <w:t>On 21 October 2025, t</w:t>
            </w:r>
            <w:r>
              <w:rPr>
                <w:rFonts w:eastAsia="Calibri" w:cs="Times New Roman" w:ascii="URW Bookman" w:hAnsi="URW Bookman"/>
                <w:b w:val="false"/>
                <w:bCs w:val="false"/>
                <w:color w:val="000000"/>
                <w:kern w:val="0"/>
                <w:sz w:val="16"/>
                <w:szCs w:val="16"/>
                <w:shd w:fill="auto" w:val="clear"/>
                <w:lang w:val="en-US" w:eastAsia="en-US" w:bidi="ar-SA"/>
              </w:rPr>
              <w:t>he FSVPS agreed to register new enterprises- 19 marine enterprises and expanded the scope of products of 1 additional enterprise. These enterprises are also mentioned in EAM’s letter. The FSVPS has started inspection of 10 random marine enterprises on 27 October 2025 in order to register all marine enterprises mentioned in the letter handed over by EAM.</w:t>
            </w:r>
          </w:p>
          <w:p>
            <w:pPr>
              <w:pStyle w:val="Normal"/>
              <w:widowControl w:val="false"/>
              <w:spacing w:lineRule="auto" w:line="240" w:before="0" w:after="0"/>
              <w:ind w:hanging="0" w:left="0" w:right="0"/>
              <w:jc w:val="both"/>
              <w:rPr>
                <w:highlight w:val="none"/>
                <w:shd w:fill="auto" w:val="clear"/>
              </w:rPr>
            </w:pPr>
            <w:r>
              <w:rPr>
                <w:rFonts w:eastAsia="Calibri" w:cs="Times New Roman" w:ascii="URW Bookman" w:hAnsi="URW Bookman"/>
                <w:b w:val="false"/>
                <w:bCs w:val="false"/>
                <w:color w:val="000000"/>
                <w:kern w:val="0"/>
                <w:sz w:val="16"/>
                <w:szCs w:val="16"/>
                <w:shd w:fill="auto" w:val="clear"/>
                <w:lang w:val="en-US" w:eastAsia="en-US" w:bidi="ar-SA"/>
              </w:rPr>
              <w:t xml:space="preserve"> </w:t>
            </w:r>
            <w:r>
              <w:rPr>
                <w:rFonts w:eastAsia="Times New Roman" w:cs="Times New Roman" w:ascii="URW Bookman" w:hAnsi="URW Bookman"/>
                <w:b w:val="false"/>
                <w:bCs w:val="false"/>
                <w:color w:val="000000"/>
                <w:kern w:val="0"/>
                <w:sz w:val="16"/>
                <w:szCs w:val="16"/>
                <w:shd w:fill="auto" w:val="clear"/>
                <w:lang w:val="en-IN" w:eastAsia="en-IN" w:bidi="ar-SA"/>
              </w:rPr>
              <w:t>Indian side proposed that a system based approach should be followed by the FSVPS in place of individual enterprise based audit for the registration for export to the Russian Federation.</w:t>
            </w:r>
          </w:p>
          <w:p>
            <w:pPr>
              <w:pStyle w:val="NormalWeb"/>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During the meeting with JS(FTCIS) on 14</w:t>
            </w:r>
            <w:r>
              <w:rPr>
                <w:rFonts w:eastAsia="Times New Roman" w:cs="Times New Roman" w:ascii="URW Bookman" w:hAnsi="URW Bookman"/>
                <w:b w:val="false"/>
                <w:bCs w:val="false"/>
                <w:color w:val="000000"/>
                <w:kern w:val="0"/>
                <w:sz w:val="16"/>
                <w:szCs w:val="16"/>
                <w:shd w:fill="auto" w:val="clear"/>
                <w:vertAlign w:val="superscript"/>
                <w:lang w:val="en-IN" w:eastAsia="en-IN" w:bidi="ar-SA"/>
              </w:rPr>
              <w:t>th</w:t>
            </w:r>
            <w:r>
              <w:rPr>
                <w:rFonts w:eastAsia="Times New Roman" w:cs="Times New Roman" w:ascii="URW Bookman" w:hAnsi="URW Bookman"/>
                <w:b w:val="false"/>
                <w:bCs w:val="false"/>
                <w:color w:val="000000"/>
                <w:kern w:val="0"/>
                <w:sz w:val="16"/>
                <w:szCs w:val="16"/>
                <w:shd w:fill="auto" w:val="clear"/>
                <w:lang w:val="en-IN" w:eastAsia="en-IN" w:bidi="ar-SA"/>
              </w:rPr>
              <w:t xml:space="preserve"> November 2025, the representatives of FSVPS requested to share additional documents including National control plan for Dairy, list of veterinary medicinal products and National Fisheries Surveillance results of 2023-25, for further information related inspection carried out in October – November.</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Seafood</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Shrimps HS0306</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Indian side is currently unable to access detailed data on the rejections of marine establishments. The FSVPS website only provides information on the status of listed units.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side).EAM handed over a list of 69 marine enterprises awiting registration with the FSVPs to the FDPM Denis Manturov.</w:t>
            </w:r>
          </w:p>
          <w:p>
            <w:pPr>
              <w:pStyle w:val="Normal"/>
              <w:widowControl w:val="false"/>
              <w:spacing w:lineRule="auto" w:line="240" w:before="0" w:after="0"/>
              <w:ind w:hanging="0" w:left="0" w:right="0"/>
              <w:jc w:val="both"/>
              <w:rPr>
                <w:highlight w:val="none"/>
                <w:shd w:fill="auto" w:val="clear"/>
              </w:rPr>
            </w:pPr>
            <w:r>
              <w:rPr>
                <w:rFonts w:ascii="URW Bookman" w:hAnsi="URW Bookman"/>
                <w:color w:val="000000"/>
                <w:sz w:val="16"/>
                <w:szCs w:val="16"/>
                <w:shd w:fill="auto" w:val="clear"/>
              </w:rPr>
              <w:t xml:space="preserve">As per the Russian side, it forwards notifications and publishes brief information on FSVPS website. </w:t>
            </w:r>
            <w:r>
              <w:rPr>
                <w:rFonts w:eastAsia="Calibri" w:cs="Times New Roman" w:ascii="URW Bookman" w:hAnsi="URW Bookman"/>
                <w:color w:val="000000"/>
                <w:kern w:val="0"/>
                <w:sz w:val="16"/>
                <w:szCs w:val="16"/>
                <w:shd w:fill="auto" w:val="clear"/>
                <w:lang w:val="en-US" w:eastAsia="en-US" w:bidi="ar-SA"/>
              </w:rPr>
              <w:t>On 21 October 2025, t</w:t>
            </w:r>
            <w:r>
              <w:rPr>
                <w:rFonts w:eastAsia="Calibri" w:cs="Times New Roman" w:ascii="URW Bookman" w:hAnsi="URW Bookman"/>
                <w:b w:val="false"/>
                <w:bCs w:val="false"/>
                <w:color w:val="000000"/>
                <w:kern w:val="0"/>
                <w:sz w:val="16"/>
                <w:szCs w:val="16"/>
                <w:shd w:fill="auto" w:val="clear"/>
                <w:lang w:val="en-US" w:eastAsia="en-US" w:bidi="ar-SA"/>
              </w:rPr>
              <w:t xml:space="preserve">he FSVPS agreed to register new enterprises- 19 marine enterprises and expanded the scope of products of 1 additional enterprise. These enterprises are also mentioned in EAM’s letter. The FSVPS has started inspection of 10 random marine enterprises on 27 October 2025 in order to register all marine enterprises mentioned in the letter handed over by EAM. </w:t>
            </w:r>
            <w:r>
              <w:rPr>
                <w:rFonts w:eastAsia="Times New Roman" w:cs="Times New Roman" w:ascii="URW Bookman" w:hAnsi="URW Bookman"/>
                <w:b w:val="false"/>
                <w:bCs w:val="false"/>
                <w:color w:val="000000"/>
                <w:kern w:val="0"/>
                <w:sz w:val="16"/>
                <w:szCs w:val="16"/>
                <w:shd w:fill="auto" w:val="clear"/>
                <w:lang w:val="en-IN" w:eastAsia="en-IN" w:bidi="ar-SA"/>
              </w:rPr>
              <w:t>Indian side proposed that a system based approach should be followed by the FSVPS in place of individual enterprise based audit for the registration for export to the Russian Federation.</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Seafood</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Shrimps HS0306</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Stringent Russian Standards Compared to International Norms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 xml:space="preserve">The issue was raised at the 26th Meeting of IRIGC-TEC on 20 August 2025 (a list of the barriers was shared with the Russian side). </w:t>
            </w:r>
            <w:r>
              <w:rPr>
                <w:rFonts w:eastAsia="Calibri" w:cs="Times New Roman" w:ascii="URW Bookman" w:hAnsi="URW Bookman"/>
                <w:color w:val="000000"/>
                <w:kern w:val="0"/>
                <w:sz w:val="16"/>
                <w:szCs w:val="16"/>
                <w:shd w:fill="auto" w:val="clear"/>
                <w:lang w:val="en-US" w:eastAsia="en-US" w:bidi="ar-SA"/>
              </w:rPr>
              <w:t>On 21 October 2025, t</w:t>
            </w:r>
            <w:r>
              <w:rPr>
                <w:rFonts w:eastAsia="Calibri" w:cs="Times New Roman" w:ascii="URW Bookman" w:hAnsi="URW Bookman"/>
                <w:b w:val="false"/>
                <w:bCs w:val="false"/>
                <w:color w:val="000000"/>
                <w:kern w:val="0"/>
                <w:sz w:val="16"/>
                <w:szCs w:val="16"/>
                <w:shd w:fill="auto" w:val="clear"/>
                <w:lang w:val="en-US" w:eastAsia="en-US" w:bidi="ar-SA"/>
              </w:rPr>
              <w:t xml:space="preserve">he FSVPS agreed to register new enterprises- 19 marine enterprises and expanded the scope of products of 1 additional enterprise. These enterprises are also mentioned in EAM’s letter. The FSVPS has started inspection of 10 random marine enterprises on 27 October 2025 in order to register all marine enterprises mentioned in the letter handed over by EAM. </w:t>
            </w:r>
            <w:r>
              <w:rPr>
                <w:rFonts w:eastAsia="Times New Roman" w:cs="Times New Roman" w:ascii="URW Bookman" w:hAnsi="URW Bookman"/>
                <w:b w:val="false"/>
                <w:bCs w:val="false"/>
                <w:color w:val="000000"/>
                <w:kern w:val="0"/>
                <w:sz w:val="16"/>
                <w:szCs w:val="16"/>
                <w:shd w:fill="auto" w:val="clear"/>
                <w:lang w:val="en-IN" w:eastAsia="en-IN" w:bidi="ar-SA"/>
              </w:rPr>
              <w:t>Indian side proposed that a system based approach should be followed by the FSVPS in place of individual enterprise based audit for the registration for export to the Russian Federation.</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Tea</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Tea HS 0902</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Blending norms need correction.</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Current gaps allow low Indian content blends to be sold as “Indian Tea”. Mandate at least 75% Indian origin content for any blend labelled “Indian Tea”.</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Tea</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Tea HS 0902</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Effective legislation should be enacted in Russia to provide protection to Darjeeling Tea as a Geographical Indication (GI) and recognition of Assam, Nilgiri and Indian Tea Logo (World Gold Standard) as marks and famous brands owned by the Tea Board of India. (A Memorandum of Understanding in this regard was signed in February 2007.)</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Indian side is advised to apply for registration of the above designations in the manner prescribed by national legislation.</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EIC</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Tea</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Tea HS 0902</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Stringent Mold Standards for Imported Tea in Russia</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As per the Russian side, The hygienic standards adopted in the Russian Federation have a scientific basis from the point of view of safety for human health. The issue of the possibility of revising microbiological standards for fish products and tea requires discussion exclusively with the authorized bodies of all member states of the Eurasian Economic Union and cannot be resolved at the national level.</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Sending samples of tea</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Difficulties in Sending Tea Samples to Russia</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As per the Russian side. Proper documents shall be presented to customs authorities stating that the commodity is being sent as a sample.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issue was also raised during the meeting between Indian delegation of the food sector and Russian stakeholders during a B2B meeting organized on the margins of the World Food Moscow Exhibition on 18 September 2025. Indian enterprises face major difficulty in sending samples to the Russian market due to absence of international courier companies. The cost of shipping samples through the Russian courier company e.g. CDEK, is too high currently, making it an unfavourable choice. They majorly depend on postal services which takes over 20 days for delivery. Further, in the absence of a framework between India Post and Russian Post, the maximum limit of quantity and value for differentiating samples from commercial quantity, is not fixed. At several occasions, samples have been returned due to discrepancies in their invoices.</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Request for Exemption from ATA Carnet Requirement for Exhibition Samples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exhibitors may be allowed to carry samples into Russia based on a certificate issued by the Council for Leather Exports (CLE), instead of the current requirement of an ATA Carnet.</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Russian side is requested to grant an exemption from the ATA Carnet requirement for Indian participants in official Indian pavilions at Russia-based exhibitions.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As per the Russian side, the request may not be fulfilled due to legislation of EAEU. The issue was raised by the APEDA led food and agri delegation during a B2B meeting organized on the sidelines of World Food Moscow in September 2025 and by the Indian exhibitors who participated in Home Textile &amp; Design Expo organized on 21-23 October 2025.</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Registration Process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For Indian manufacturing units approved by the medicines Stringent Regulatory Authority (SRA), and for products granted marketing authorization by the SRA, we request that simplified or accelerated registration procedures be considered for the Russian market.</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As per Russian side, It is not currently possible to provide India with a simplified registration procedure on the Russian market , since Russia is a member state of the EAEU, within the framework of which a common market for medicines has been created.</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Web"/>
              <w:widowControl w:val="false"/>
              <w:spacing w:before="0" w:after="0"/>
              <w:jc w:val="both"/>
              <w:rPr>
                <w:highlight w:val="none"/>
                <w:shd w:fill="auto" w:val="clear"/>
              </w:rPr>
            </w:pPr>
            <w:r>
              <w:rPr>
                <w:rFonts w:ascii="URW Bookman" w:hAnsi="URW Bookman"/>
                <w:color w:val="000000"/>
                <w:sz w:val="16"/>
                <w:szCs w:val="16"/>
                <w:shd w:fill="auto" w:val="clear"/>
              </w:rPr>
              <w:t>“</w:t>
            </w:r>
            <w:r>
              <w:rPr>
                <w:rFonts w:ascii="URW Bookman" w:hAnsi="URW Bookman"/>
                <w:color w:val="000000"/>
                <w:sz w:val="16"/>
                <w:szCs w:val="16"/>
                <w:shd w:fill="auto" w:val="clear"/>
              </w:rPr>
              <w:t>Third-one” rule in government procurement of medicines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HS30</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players at government tenders may be provided the same treatment as Russian ones.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As per the Russian side, it would be appropriate to consider the possibility of investing in the localization of Indian pharmaceutical production in the Russian Federation, which would allow them to take advantage of preferences under Russian legislation.</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price registration</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HS30</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It has been therefore suggested to de-link the price of drugs imported by Russia from India from their domestic price in India.</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As per the Russian side, the rule protects Russian buyers from growth of prices.</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clinical trials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HS30</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Russian law requires that clinical trials for both new and generic drugs be conducted locally. These trials typically take around three years, which significantly delays the introduction of new products into the Russian market.</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It has been requested that the norms be relaxed and that study results from clinical trials conducted in approved Contract Research Organizations (CROs) in India be accepted for registration in Russia.</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Russian side has advised the Indian side to follow the regulatory legal acts of the Russian Federation and the Eurasian Economic Union which regulate the conduct of clinical trials.</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Access for Ayurveda products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Medicines HS30</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Traditional medicines in Russia are required to pass the same tests as allopathic medicines, which significantly restricts the market access of Ayurvedic products.</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Russian side has advised the Indian side to follow the regulatory legal acts of the Russian Federation and the Eurasian Economic Union regulating the registration and examination of medicines, as well as the use of traditional medicine.</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Challenges Related to Documentation, Certification, and QR Code Requirements for Textile products</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Textile products HS50-63</w:t>
            </w:r>
          </w:p>
          <w:p>
            <w:pPr>
              <w:pStyle w:val="Normal"/>
              <w:widowControl w:val="false"/>
              <w:spacing w:lineRule="auto" w:line="240" w:before="0" w:after="0"/>
              <w:ind w:hanging="0" w:left="0" w:right="0"/>
              <w:jc w:val="both"/>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Challenges Related to Documentation, Certification, and QR Code Requirements</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Cumbersome documentation requirements and procedural delays mandate the presence of a local representative who understands the processes to obtain timely clearances. High costs and lack of transparency in certification procedures lead to further delays and often result in goods being blocked until certification is complete, sometimes causing order cancellations.</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QR code system mandated under Russia’s “CHESTNY ZNAK” tracking initiative also presents significant challenges for textile exporters, particularly MSMEs. While the system aims to ensure traceability and authenticity, it is difficult to comply with due to language barriers, as most interfaces and documentation are in Russian. As a result, although a few larger companies have successfully adopted the system, most home textile manufacturers — including some larger factories — have not been able to do so despite the significant market potential.</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Calibri" w:ascii="URW Bookman" w:hAnsi="URW Bookman"/>
                <w:color w:val="000000"/>
                <w:sz w:val="16"/>
                <w:szCs w:val="16"/>
                <w:shd w:fill="auto" w:val="clear"/>
              </w:rPr>
              <w:t>The issue was raised at the 26th Meeting of IRIGC-TEC on 20 August 2025 (a list of the barriers was shared with the Russian side).</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Russian Ministry of Industry and Trade expressed its readiness to hold consultations for the Indian side on issues of importing light industry goods that are subject to mandatory identification marking. into the Russian Federation.</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enterprises face major difficulty in sending textiles samples to the Russian market due to absence of international courier companies. The cost of shipping samples through the Russian courier company e.g. CDEK, is too high currently, making it an unfavourable choice. They majorly depend on postal services which takes over 20 days for delivery. Further, in the absence of framework between India Post and Russian Post, the maximum limit of quantity and value for differentiating samples from commercial quantity, is not fixed. At several occasions, samples have been returned due to discrepancies in their invoices.</w:t>
            </w:r>
          </w:p>
        </w:tc>
      </w:tr>
      <w:tr>
        <w:trPr/>
        <w:tc>
          <w:tcPr>
            <w:tcW w:w="469" w:type="dxa"/>
            <w:tcBorders>
              <w:left w:val="single" w:sz="4" w:space="0" w:color="000000"/>
              <w:bottom w:val="single" w:sz="4" w:space="0" w:color="000000"/>
              <w:right w:val="single" w:sz="4" w:space="0" w:color="000000"/>
            </w:tcBorders>
          </w:tcPr>
          <w:p>
            <w:pPr>
              <w:pStyle w:val="Normal"/>
              <w:widowControl w:val="false"/>
              <w:numPr>
                <w:ilvl w:val="0"/>
                <w:numId w:val="2"/>
              </w:numPr>
              <w:spacing w:lineRule="auto" w:line="240" w:before="0" w:after="0"/>
              <w:ind w:hanging="0" w:left="0" w:right="0"/>
              <w:jc w:val="center"/>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c>
          <w:tcPr>
            <w:tcW w:w="117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Multiple companies</w:t>
            </w:r>
          </w:p>
        </w:tc>
        <w:tc>
          <w:tcPr>
            <w:tcW w:w="8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Maritime delivery time</w:t>
            </w:r>
          </w:p>
        </w:tc>
        <w:tc>
          <w:tcPr>
            <w:tcW w:w="29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Bananas 0803</w:t>
            </w:r>
          </w:p>
          <w:p>
            <w:pPr>
              <w:pStyle w:val="Normal"/>
              <w:widowControl w:val="false"/>
              <w:spacing w:lineRule="auto" w:line="240" w:before="0" w:after="0"/>
              <w:ind w:hanging="0" w:left="0" w:right="0"/>
              <w:jc w:val="both"/>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Long shipment of bananas to Russia</w:t>
            </w:r>
          </w:p>
        </w:tc>
        <w:tc>
          <w:tcPr>
            <w:tcW w:w="4661"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issue was raised during the meeting between</w:t>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Indian delegation of the food sector and Russian stakeholders during a B2B meeting organized on the margins of the World Food Moscow Exhibition on 18 September 2025.</w:t>
            </w:r>
          </w:p>
          <w:p>
            <w:pPr>
              <w:pStyle w:val="Normal"/>
              <w:widowControl w:val="false"/>
              <w:spacing w:lineRule="auto" w:line="240" w:before="0" w:after="0"/>
              <w:ind w:hanging="0" w:left="0" w:right="0"/>
              <w:jc w:val="both"/>
              <w:rPr>
                <w:rFonts w:ascii="URW Bookman" w:hAnsi="URW Bookman"/>
                <w:color w:val="000000"/>
                <w:sz w:val="16"/>
                <w:szCs w:val="16"/>
                <w:highlight w:val="none"/>
                <w:shd w:fill="auto" w:val="clear"/>
              </w:rPr>
            </w:pPr>
            <w:r>
              <w:rPr>
                <w:rFonts w:ascii="URW Bookman" w:hAnsi="URW Bookman"/>
                <w:color w:val="000000"/>
                <w:sz w:val="16"/>
                <w:szCs w:val="16"/>
                <w:shd w:fill="auto" w:val="clear"/>
              </w:rPr>
            </w:r>
          </w:p>
          <w:p>
            <w:pPr>
              <w:pStyle w:val="Normal"/>
              <w:widowControl w:val="false"/>
              <w:spacing w:lineRule="auto" w:line="240" w:before="0" w:after="0"/>
              <w:ind w:hanging="0" w:left="0" w:right="0"/>
              <w:jc w:val="both"/>
              <w:rPr>
                <w:highlight w:val="none"/>
                <w:shd w:fill="auto" w:val="clear"/>
              </w:rPr>
            </w:pPr>
            <w:r>
              <w:rPr>
                <w:rFonts w:eastAsia="Times New Roman" w:cs="Times New Roman" w:ascii="URW Bookman" w:hAnsi="URW Bookman"/>
                <w:b w:val="false"/>
                <w:bCs w:val="false"/>
                <w:color w:val="000000"/>
                <w:kern w:val="0"/>
                <w:sz w:val="16"/>
                <w:szCs w:val="16"/>
                <w:shd w:fill="auto" w:val="clear"/>
                <w:lang w:val="en-IN" w:eastAsia="en-IN" w:bidi="ar-SA"/>
              </w:rPr>
              <w:t>The representative of FESCO logistics company informed that the travel time may be reduced by 2 days only, and the more efficient solutions for storing bananas may be used.</w:t>
            </w:r>
          </w:p>
          <w:p>
            <w:pPr>
              <w:pStyle w:val="Normal"/>
              <w:widowControl w:val="false"/>
              <w:spacing w:lineRule="auto" w:line="240" w:before="0" w:after="0"/>
              <w:ind w:hanging="0" w:left="0" w:right="0"/>
              <w:jc w:val="both"/>
              <w:rPr>
                <w:rFonts w:ascii="URW Bookman" w:hAnsi="URW Bookman" w:eastAsia="Times New Roman" w:cs="Times New Roman"/>
                <w:b w:val="false"/>
                <w:bCs w:val="false"/>
                <w:color w:val="000000"/>
                <w:kern w:val="0"/>
                <w:sz w:val="16"/>
                <w:szCs w:val="16"/>
                <w:highlight w:val="none"/>
                <w:shd w:fill="auto" w:val="clear"/>
                <w:lang w:val="en-IN" w:eastAsia="en-IN" w:bidi="ar-SA"/>
              </w:rPr>
            </w:pPr>
            <w:r>
              <w:rPr>
                <w:rFonts w:eastAsia="Times New Roman" w:cs="Times New Roman" w:ascii="URW Bookman" w:hAnsi="URW Bookman"/>
                <w:b w:val="false"/>
                <w:bCs w:val="false"/>
                <w:color w:val="000000"/>
                <w:kern w:val="0"/>
                <w:sz w:val="16"/>
                <w:szCs w:val="16"/>
                <w:shd w:fill="auto" w:val="clear"/>
                <w:lang w:val="en-IN" w:eastAsia="en-IN" w:bidi="ar-SA"/>
              </w:rPr>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bookmarkStart w:id="0" w:name="_GoBack"/>
      <w:bookmarkStart w:id="1" w:name="_GoBack"/>
      <w:bookmarkEnd w:id="1"/>
    </w:p>
    <w:tbl>
      <w:tblPr>
        <w:tblW w:w="8925" w:type="dxa"/>
        <w:jc w:val="left"/>
        <w:tblInd w:w="1216" w:type="dxa"/>
        <w:tblLayout w:type="fixed"/>
        <w:tblCellMar>
          <w:top w:w="0" w:type="dxa"/>
          <w:left w:w="108" w:type="dxa"/>
          <w:bottom w:w="0" w:type="dxa"/>
          <w:right w:w="108" w:type="dxa"/>
        </w:tblCellMar>
      </w:tblPr>
      <w:tblGrid>
        <w:gridCol w:w="1884"/>
        <w:gridCol w:w="7041"/>
      </w:tblGrid>
      <w:tr>
        <w:trPr/>
        <w:tc>
          <w:tcPr>
            <w:tcW w:w="1884"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Records of E&amp;C Wing</w:t>
            </w:r>
          </w:p>
        </w:tc>
      </w:tr>
    </w:tbl>
    <w:p>
      <w:pPr>
        <w:pStyle w:val="Normal"/>
        <w:spacing w:lineRule="auto" w:line="240" w:before="0" w:after="0"/>
        <w:ind w:hanging="0" w:left="0" w:right="0"/>
        <w:rPr>
          <w:rFonts w:ascii="URW Bookman" w:hAnsi="URW Bookman" w:cs="Arial"/>
          <w:color w:val="000000"/>
          <w:sz w:val="16"/>
          <w:szCs w:val="16"/>
          <w:highlight w:val="none"/>
          <w:shd w:fill="auto" w:val="clear"/>
          <w:lang w:val="en-IN"/>
        </w:rPr>
      </w:pPr>
      <w:r>
        <w:rPr>
          <w:rFonts w:cs="Arial" w:ascii="URW Bookman" w:hAnsi="URW Bookman"/>
          <w:color w:val="000000"/>
          <w:sz w:val="16"/>
          <w:szCs w:val="16"/>
          <w:shd w:fill="auto" w:val="clear"/>
          <w:lang w:val="en-IN"/>
        </w:rPr>
      </w:r>
    </w:p>
    <w:p>
      <w:pPr>
        <w:pStyle w:val="Normal"/>
        <w:spacing w:lineRule="auto" w:line="240" w:before="0" w:after="0"/>
        <w:ind w:hanging="0" w:left="0" w:right="0"/>
        <w:rPr>
          <w:rFonts w:ascii="URW Bookman" w:hAnsi="URW Bookman" w:cs="Arial"/>
          <w:color w:val="000000"/>
          <w:sz w:val="16"/>
          <w:szCs w:val="16"/>
          <w:highlight w:val="none"/>
          <w:shd w:fill="auto" w:val="clear"/>
          <w:lang w:val="en-IN"/>
        </w:rPr>
      </w:pPr>
      <w:r>
        <w:rPr>
          <w:rFonts w:cs="Arial" w:ascii="URW Bookman" w:hAnsi="URW Bookman"/>
          <w:color w:val="000000"/>
          <w:sz w:val="16"/>
          <w:szCs w:val="16"/>
          <w:shd w:fill="auto" w:val="clear"/>
          <w:lang w:val="en-IN"/>
        </w:rPr>
      </w:r>
    </w:p>
    <w:p>
      <w:pPr>
        <w:pStyle w:val="Normal"/>
        <w:numPr>
          <w:ilvl w:val="0"/>
          <w:numId w:val="0"/>
        </w:numPr>
        <w:tabs>
          <w:tab w:val="clear" w:pos="720"/>
          <w:tab w:val="left" w:pos="993" w:leader="none"/>
        </w:tabs>
        <w:spacing w:lineRule="auto" w:line="240" w:before="0" w:after="0"/>
        <w:ind w:hanging="0" w:left="0" w:right="0"/>
        <w:rPr>
          <w:highlight w:val="none"/>
          <w:shd w:fill="auto" w:val="clear"/>
        </w:rPr>
      </w:pPr>
      <w:r>
        <w:rPr>
          <w:rFonts w:cs="Arial" w:ascii="URW Bookman" w:hAnsi="URW Bookman"/>
          <w:b/>
          <w:bCs/>
          <w:color w:val="000000"/>
          <w:sz w:val="16"/>
          <w:szCs w:val="16"/>
          <w:shd w:fill="auto" w:val="clear"/>
        </w:rPr>
        <w:t>b. Feedback on major trade promotion activities/events</w:t>
      </w:r>
    </w:p>
    <w:tbl>
      <w:tblPr>
        <w:tblW w:w="10033" w:type="dxa"/>
        <w:jc w:val="left"/>
        <w:tblInd w:w="108" w:type="dxa"/>
        <w:tblLayout w:type="fixed"/>
        <w:tblCellMar>
          <w:top w:w="55" w:type="dxa"/>
          <w:left w:w="108" w:type="dxa"/>
          <w:bottom w:w="55" w:type="dxa"/>
          <w:right w:w="108" w:type="dxa"/>
        </w:tblCellMar>
      </w:tblPr>
      <w:tblGrid>
        <w:gridCol w:w="716"/>
        <w:gridCol w:w="1449"/>
        <w:gridCol w:w="1277"/>
        <w:gridCol w:w="1257"/>
        <w:gridCol w:w="1442"/>
        <w:gridCol w:w="3892"/>
      </w:tblGrid>
      <w:tr>
        <w:trPr/>
        <w:tc>
          <w:tcPr>
            <w:tcW w:w="716"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S. No.</w:t>
            </w:r>
          </w:p>
        </w:tc>
        <w:tc>
          <w:tcPr>
            <w:tcW w:w="1449"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Activity/Events (trade fair, BSM etc.)</w:t>
            </w:r>
          </w:p>
        </w:tc>
        <w:tc>
          <w:tcPr>
            <w:tcW w:w="1277"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Date and venue</w:t>
            </w:r>
          </w:p>
        </w:tc>
        <w:tc>
          <w:tcPr>
            <w:tcW w:w="1257"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Number of participants from India</w:t>
            </w:r>
          </w:p>
        </w:tc>
        <w:tc>
          <w:tcPr>
            <w:tcW w:w="144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Name of EPC/Trade Body coordinating participants</w:t>
            </w:r>
          </w:p>
        </w:tc>
        <w:tc>
          <w:tcPr>
            <w:tcW w:w="3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Mission’s Feedback</w:t>
            </w:r>
          </w:p>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i w:val="false"/>
                <w:iCs w:val="false"/>
                <w:color w:val="000000"/>
                <w:kern w:val="0"/>
                <w:sz w:val="16"/>
                <w:szCs w:val="16"/>
                <w:shd w:fill="auto" w:val="clear"/>
                <w:lang w:val="en-US" w:eastAsia="en-US" w:bidi="ar-SA"/>
              </w:rPr>
              <w:t>(Max.200 words)</w:t>
            </w:r>
          </w:p>
          <w:p>
            <w:pPr>
              <w:pStyle w:val="Normal"/>
              <w:widowControl w:val="false"/>
              <w:spacing w:lineRule="auto" w:line="240" w:before="0" w:after="0"/>
              <w:ind w:hanging="0" w:left="0" w:right="0"/>
              <w:jc w:val="center"/>
              <w:rPr>
                <w:rFonts w:ascii="URW Bookman" w:hAnsi="URW Bookman" w:eastAsia="Calibri" w:cs="Arial"/>
                <w:b/>
                <w:bCs/>
                <w:i w:val="false"/>
                <w:i w:val="false"/>
                <w:iCs w:val="false"/>
                <w:color w:val="000000"/>
                <w:kern w:val="0"/>
                <w:sz w:val="16"/>
                <w:szCs w:val="16"/>
                <w:highlight w:val="none"/>
                <w:shd w:fill="auto" w:val="clear"/>
                <w:lang w:val="en-US" w:eastAsia="en-US" w:bidi="ar-SA"/>
              </w:rPr>
            </w:pPr>
            <w:r>
              <w:rPr>
                <w:rFonts w:eastAsia="Calibri" w:cs="Arial" w:ascii="URW Bookman" w:hAnsi="URW Bookman"/>
                <w:b/>
                <w:bCs/>
                <w:i w:val="false"/>
                <w:iCs w:val="false"/>
                <w:color w:val="000000"/>
                <w:kern w:val="0"/>
                <w:sz w:val="16"/>
                <w:szCs w:val="16"/>
                <w:shd w:fill="auto" w:val="clear"/>
                <w:lang w:val="en-US" w:eastAsia="en-US" w:bidi="ar-SA"/>
              </w:rPr>
            </w:r>
          </w:p>
        </w:tc>
      </w:tr>
      <w:tr>
        <w:trPr/>
        <w:tc>
          <w:tcPr>
            <w:tcW w:w="716"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w:t>
            </w:r>
          </w:p>
        </w:tc>
        <w:tc>
          <w:tcPr>
            <w:tcW w:w="1449"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St. Petersburg International Economic Forum</w:t>
            </w:r>
          </w:p>
        </w:tc>
        <w:tc>
          <w:tcPr>
            <w:tcW w:w="127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03-06/06/2026</w:t>
            </w:r>
          </w:p>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St. Petersburg</w:t>
            </w:r>
          </w:p>
        </w:tc>
        <w:tc>
          <w:tcPr>
            <w:tcW w:w="125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w:t>
            </w:r>
          </w:p>
        </w:tc>
        <w:tc>
          <w:tcPr>
            <w:tcW w:w="1442"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APEDB</w:t>
            </w:r>
          </w:p>
        </w:tc>
        <w:tc>
          <w:tcPr>
            <w:tcW w:w="389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Shri Nara Lokesh, Hon’ble Minister for Information Technology, Electronics and Communications, Government of Andhra Pradesh. Visited Russia  on 02-07 June. During the visit he took part in the Saint Petersburg International Economic Forum. He spoke at the Session “New Horizons of Global Logistics and Logistics Contour of the Arctic” organized by Rosatom. The Minister conducted several meetings with Rosatom (nuclear power, rare minerals, maritime logistics), Ruschem (chemicals), Sberbank (banking, IT), Novostal-M (metallurgy), AFK Sistema (investments, technologies), Gazpromexport (gas), Novatek (LNG), Innopraktika (development institution), Gazprombank (banking), Transmashholding (railway machine building) and  others. Meetings with Russian federal authorities as well as Moscow and Saint Petersburg authorities were also held.</w:t>
            </w:r>
          </w:p>
        </w:tc>
      </w:tr>
      <w:tr>
        <w:trPr/>
        <w:tc>
          <w:tcPr>
            <w:tcW w:w="716"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2</w:t>
            </w:r>
          </w:p>
        </w:tc>
        <w:tc>
          <w:tcPr>
            <w:tcW w:w="1449"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St. Petersburg International Economic Forum</w:t>
            </w:r>
          </w:p>
        </w:tc>
        <w:tc>
          <w:tcPr>
            <w:tcW w:w="127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03-06/06/2026</w:t>
            </w:r>
          </w:p>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St. Petersburg</w:t>
            </w:r>
          </w:p>
        </w:tc>
        <w:tc>
          <w:tcPr>
            <w:tcW w:w="125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10</w:t>
            </w:r>
          </w:p>
        </w:tc>
        <w:tc>
          <w:tcPr>
            <w:tcW w:w="1442"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FICCI</w:t>
            </w:r>
          </w:p>
        </w:tc>
        <w:tc>
          <w:tcPr>
            <w:tcW w:w="389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10-member delegation of FICCI took part in SPIEF</w:t>
            </w:r>
          </w:p>
        </w:tc>
      </w:tr>
      <w:tr>
        <w:trPr/>
        <w:tc>
          <w:tcPr>
            <w:tcW w:w="716"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3</w:t>
            </w:r>
          </w:p>
        </w:tc>
        <w:tc>
          <w:tcPr>
            <w:tcW w:w="1449"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Stone Industry</w:t>
            </w:r>
          </w:p>
        </w:tc>
        <w:tc>
          <w:tcPr>
            <w:tcW w:w="127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24-26/06/2026</w:t>
            </w:r>
          </w:p>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Moscow</w:t>
            </w:r>
          </w:p>
        </w:tc>
        <w:tc>
          <w:tcPr>
            <w:tcW w:w="125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14</w:t>
            </w:r>
          </w:p>
        </w:tc>
        <w:tc>
          <w:tcPr>
            <w:tcW w:w="1442"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NA</w:t>
            </w:r>
          </w:p>
        </w:tc>
        <w:tc>
          <w:tcPr>
            <w:tcW w:w="389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The stalls of the Indian companies were well attended by the visitors of the exhibition</w:t>
            </w:r>
          </w:p>
        </w:tc>
      </w:tr>
      <w:tr>
        <w:trPr/>
        <w:tc>
          <w:tcPr>
            <w:tcW w:w="716"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4</w:t>
            </w:r>
          </w:p>
        </w:tc>
        <w:tc>
          <w:tcPr>
            <w:tcW w:w="1449"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RosUpack</w:t>
            </w:r>
          </w:p>
        </w:tc>
        <w:tc>
          <w:tcPr>
            <w:tcW w:w="127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16-19/06/2026</w:t>
            </w:r>
          </w:p>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Moscow</w:t>
            </w:r>
          </w:p>
        </w:tc>
        <w:tc>
          <w:tcPr>
            <w:tcW w:w="125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25</w:t>
            </w:r>
          </w:p>
        </w:tc>
        <w:tc>
          <w:tcPr>
            <w:tcW w:w="1442"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NA</w:t>
            </w:r>
          </w:p>
        </w:tc>
        <w:tc>
          <w:tcPr>
            <w:tcW w:w="389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The stalls of the Indian companies were well attended by the visitors of the exhibition</w:t>
            </w:r>
          </w:p>
        </w:tc>
      </w:tr>
      <w:tr>
        <w:trPr/>
        <w:tc>
          <w:tcPr>
            <w:tcW w:w="716"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5</w:t>
            </w:r>
          </w:p>
        </w:tc>
        <w:tc>
          <w:tcPr>
            <w:tcW w:w="1449"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Printech</w:t>
            </w:r>
          </w:p>
        </w:tc>
        <w:tc>
          <w:tcPr>
            <w:tcW w:w="127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16-19/06/2026</w:t>
            </w:r>
          </w:p>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Moscow</w:t>
            </w:r>
          </w:p>
        </w:tc>
        <w:tc>
          <w:tcPr>
            <w:tcW w:w="125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w:t>
            </w:r>
          </w:p>
        </w:tc>
        <w:tc>
          <w:tcPr>
            <w:tcW w:w="1442"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Screen Printers Association of India</w:t>
            </w:r>
          </w:p>
        </w:tc>
        <w:tc>
          <w:tcPr>
            <w:tcW w:w="389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The stall of the Association was well attended by the visitors of the exhibition</w:t>
            </w:r>
          </w:p>
        </w:tc>
      </w:tr>
      <w:tr>
        <w:trPr/>
        <w:tc>
          <w:tcPr>
            <w:tcW w:w="716"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6</w:t>
            </w:r>
          </w:p>
        </w:tc>
        <w:tc>
          <w:tcPr>
            <w:tcW w:w="1449"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Rosmould | Rosplast | 3D-TECH</w:t>
            </w:r>
          </w:p>
        </w:tc>
        <w:tc>
          <w:tcPr>
            <w:tcW w:w="127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16-19/06/2026</w:t>
            </w:r>
          </w:p>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Moscow</w:t>
            </w:r>
          </w:p>
        </w:tc>
        <w:tc>
          <w:tcPr>
            <w:tcW w:w="1257"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2</w:t>
            </w:r>
          </w:p>
        </w:tc>
        <w:tc>
          <w:tcPr>
            <w:tcW w:w="1442" w:type="dxa"/>
            <w:tcBorders>
              <w:left w:val="single" w:sz="4" w:space="0" w:color="000000"/>
              <w:bottom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NA</w:t>
            </w:r>
          </w:p>
        </w:tc>
        <w:tc>
          <w:tcPr>
            <w:tcW w:w="3892"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URW Bookman" w:hAnsi="URW Bookman" w:eastAsia="Times New Roman"/>
                <w:b w:val="false"/>
                <w:bCs w:val="false"/>
                <w:color w:val="000000"/>
                <w:sz w:val="16"/>
                <w:szCs w:val="16"/>
                <w:shd w:fill="auto" w:val="clear"/>
                <w:lang w:val="en-IN" w:eastAsia="en-IN"/>
              </w:rPr>
            </w:pPr>
            <w:r>
              <w:rPr>
                <w:rFonts w:eastAsia="Times New Roman" w:ascii="URW Bookman" w:hAnsi="URW Bookman"/>
                <w:b w:val="false"/>
                <w:bCs w:val="false"/>
                <w:color w:val="000000"/>
                <w:sz w:val="16"/>
                <w:szCs w:val="16"/>
                <w:shd w:fill="auto" w:val="clear"/>
                <w:lang w:val="en-IN" w:eastAsia="en-IN"/>
              </w:rPr>
              <w:t>The stalls of the Indian companies were well attended by the visitors of the exhibition</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021" w:type="dxa"/>
        <w:jc w:val="left"/>
        <w:tblInd w:w="1116" w:type="dxa"/>
        <w:tblLayout w:type="fixed"/>
        <w:tblCellMar>
          <w:top w:w="0" w:type="dxa"/>
          <w:left w:w="108" w:type="dxa"/>
          <w:bottom w:w="0" w:type="dxa"/>
          <w:right w:w="108" w:type="dxa"/>
        </w:tblCellMar>
      </w:tblPr>
      <w:tblGrid>
        <w:gridCol w:w="1980"/>
        <w:gridCol w:w="7041"/>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Records of E&amp;C Wing</w:t>
            </w:r>
          </w:p>
        </w:tc>
      </w:tr>
    </w:tbl>
    <w:p>
      <w:pPr>
        <w:pStyle w:val="Normal"/>
        <w:spacing w:lineRule="auto" w:line="240" w:before="0" w:after="0"/>
        <w:ind w:hanging="0" w:left="0" w:right="0"/>
        <w:rPr>
          <w:rFonts w:ascii="URW Bookman" w:hAnsi="URW Bookman" w:cs="Arial"/>
          <w:color w:val="000000"/>
          <w:sz w:val="16"/>
          <w:szCs w:val="16"/>
          <w:highlight w:val="none"/>
          <w:shd w:fill="auto" w:val="clear"/>
          <w:lang w:val="en-IN"/>
        </w:rPr>
      </w:pPr>
      <w:r>
        <w:rPr>
          <w:rFonts w:cs="Arial" w:ascii="URW Bookman" w:hAnsi="URW Bookman"/>
          <w:color w:val="000000"/>
          <w:sz w:val="16"/>
          <w:szCs w:val="16"/>
          <w:shd w:fill="auto" w:val="clear"/>
          <w:lang w:val="en-IN"/>
        </w:rPr>
      </w:r>
    </w:p>
    <w:p>
      <w:pPr>
        <w:pStyle w:val="Normal"/>
        <w:numPr>
          <w:ilvl w:val="0"/>
          <w:numId w:val="0"/>
        </w:numPr>
        <w:tabs>
          <w:tab w:val="clear" w:pos="720"/>
          <w:tab w:val="left" w:pos="993" w:leader="none"/>
        </w:tabs>
        <w:spacing w:lineRule="auto" w:line="240" w:before="0" w:after="0"/>
        <w:ind w:hanging="0" w:left="0" w:right="0"/>
        <w:rPr>
          <w:highlight w:val="none"/>
          <w:shd w:fill="auto" w:val="clear"/>
        </w:rPr>
      </w:pPr>
      <w:r>
        <w:rPr>
          <w:rFonts w:cs="Arial" w:ascii="URW Bookman" w:hAnsi="URW Bookman"/>
          <w:b/>
          <w:bCs/>
          <w:color w:val="000000"/>
          <w:sz w:val="16"/>
          <w:szCs w:val="16"/>
          <w:shd w:fill="auto" w:val="clear"/>
        </w:rPr>
        <w:t>c. Feedback from local commercial visitors to trade fairs in India, including under RBSM; number of Business Visas issued :</w:t>
      </w:r>
    </w:p>
    <w:p>
      <w:pPr>
        <w:pStyle w:val="Normal"/>
        <w:spacing w:lineRule="auto" w:line="240" w:before="0" w:after="0"/>
        <w:ind w:hanging="0" w:left="0" w:right="0"/>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tbl>
      <w:tblPr>
        <w:tblW w:w="10027" w:type="dxa"/>
        <w:jc w:val="left"/>
        <w:tblInd w:w="113" w:type="dxa"/>
        <w:tblLayout w:type="fixed"/>
        <w:tblCellMar>
          <w:top w:w="0" w:type="dxa"/>
          <w:left w:w="108" w:type="dxa"/>
          <w:bottom w:w="0" w:type="dxa"/>
          <w:right w:w="108" w:type="dxa"/>
        </w:tblCellMar>
      </w:tblPr>
      <w:tblGrid>
        <w:gridCol w:w="557"/>
        <w:gridCol w:w="1357"/>
        <w:gridCol w:w="1224"/>
        <w:gridCol w:w="1324"/>
        <w:gridCol w:w="1584"/>
        <w:gridCol w:w="1092"/>
        <w:gridCol w:w="2889"/>
      </w:tblGrid>
      <w:tr>
        <w:trPr/>
        <w:tc>
          <w:tcPr>
            <w:tcW w:w="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S. No.</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Activity (trade fair)</w:t>
            </w:r>
          </w:p>
          <w:p>
            <w:pPr>
              <w:pStyle w:val="Normal"/>
              <w:widowControl w:val="false"/>
              <w:spacing w:lineRule="auto" w:line="240" w:before="0" w:after="0"/>
              <w:ind w:hanging="0" w:left="0" w:right="0"/>
              <w:jc w:val="center"/>
              <w:rPr>
                <w:rFonts w:ascii="URW Bookman" w:hAnsi="URW Bookman" w:eastAsia="Calibri" w:cs="Arial"/>
                <w:b/>
                <w:bCs/>
                <w:color w:val="000000"/>
                <w:kern w:val="0"/>
                <w:sz w:val="16"/>
                <w:szCs w:val="16"/>
                <w:highlight w:val="none"/>
                <w:shd w:fill="auto" w:val="clear"/>
                <w:lang w:val="en-US" w:eastAsia="en-US" w:bidi="ar-SA"/>
              </w:rPr>
            </w:pPr>
            <w:r>
              <w:rPr>
                <w:rFonts w:eastAsia="Calibri" w:cs="Arial" w:ascii="URW Bookman" w:hAnsi="URW Bookman"/>
                <w:b/>
                <w:bCs/>
                <w:color w:val="000000"/>
                <w:kern w:val="0"/>
                <w:sz w:val="16"/>
                <w:szCs w:val="16"/>
                <w:shd w:fill="auto" w:val="clear"/>
                <w:lang w:val="en-US" w:eastAsia="en-US" w:bidi="ar-SA"/>
              </w:rPr>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Date and venue</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Number of participants from the relevant country</w:t>
            </w:r>
          </w:p>
        </w:tc>
        <w:tc>
          <w:tcPr>
            <w:tcW w:w="1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List of large/ key participants from the relevant country</w:t>
            </w:r>
          </w:p>
        </w:tc>
        <w:tc>
          <w:tcPr>
            <w:tcW w:w="10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Number of Business Visas issued</w:t>
            </w:r>
          </w:p>
        </w:tc>
        <w:tc>
          <w:tcPr>
            <w:tcW w:w="2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US" w:eastAsia="en-US" w:bidi="ar-SA"/>
              </w:rPr>
              <w:t>Mission’s Feedback</w:t>
            </w:r>
          </w:p>
          <w:p>
            <w:pPr>
              <w:pStyle w:val="Normal"/>
              <w:widowControl w:val="false"/>
              <w:spacing w:lineRule="auto" w:line="240" w:before="0" w:after="0"/>
              <w:ind w:hanging="0" w:left="0" w:right="0"/>
              <w:jc w:val="center"/>
              <w:rPr>
                <w:rFonts w:ascii="URW Bookman" w:hAnsi="URW Bookman" w:eastAsia="Calibri" w:cs="Arial"/>
                <w:b/>
                <w:bCs/>
                <w:color w:val="000000"/>
                <w:kern w:val="0"/>
                <w:sz w:val="16"/>
                <w:szCs w:val="16"/>
                <w:highlight w:val="none"/>
                <w:shd w:fill="auto" w:val="clear"/>
                <w:lang w:val="en-US" w:eastAsia="en-US" w:bidi="ar-SA"/>
              </w:rPr>
            </w:pPr>
            <w:r>
              <w:rPr>
                <w:rFonts w:eastAsia="Calibri" w:cs="Arial" w:ascii="URW Bookman" w:hAnsi="URW Bookman"/>
                <w:b/>
                <w:bCs/>
                <w:color w:val="000000"/>
                <w:kern w:val="0"/>
                <w:sz w:val="16"/>
                <w:szCs w:val="16"/>
                <w:shd w:fill="auto" w:val="clear"/>
                <w:lang w:val="en-US" w:eastAsia="en-US" w:bidi="ar-SA"/>
              </w:rPr>
            </w:r>
          </w:p>
        </w:tc>
      </w:tr>
      <w:tr>
        <w:trPr/>
        <w:tc>
          <w:tcPr>
            <w:tcW w:w="55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1</w:t>
            </w:r>
          </w:p>
        </w:tc>
        <w:tc>
          <w:tcPr>
            <w:tcW w:w="135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Business Mission of Chelyabinsk Region companies to India</w:t>
            </w:r>
          </w:p>
        </w:tc>
        <w:tc>
          <w:tcPr>
            <w:tcW w:w="122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02-05 June 2026,</w:t>
            </w:r>
          </w:p>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New Dlehi</w:t>
            </w:r>
          </w:p>
        </w:tc>
        <w:tc>
          <w:tcPr>
            <w:tcW w:w="132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3</w:t>
            </w:r>
          </w:p>
        </w:tc>
        <w:tc>
          <w:tcPr>
            <w:tcW w:w="158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International Cooperation Agency of the Chelyabinsk Region</w:t>
            </w:r>
          </w:p>
        </w:tc>
        <w:tc>
          <w:tcPr>
            <w:tcW w:w="109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0</w:t>
            </w:r>
          </w:p>
        </w:tc>
        <w:tc>
          <w:tcPr>
            <w:tcW w:w="288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The delegation included representatives from three organizations, which presented sealing products and materials, drilling rigs, and control and measuring equipment. The exporters visited company offices, production sites, and trade associations.</w:t>
            </w:r>
          </w:p>
        </w:tc>
      </w:tr>
      <w:tr>
        <w:trPr/>
        <w:tc>
          <w:tcPr>
            <w:tcW w:w="55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2</w:t>
            </w:r>
          </w:p>
        </w:tc>
        <w:tc>
          <w:tcPr>
            <w:tcW w:w="135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Business meetings with Nayara Energy</w:t>
            </w:r>
          </w:p>
        </w:tc>
        <w:tc>
          <w:tcPr>
            <w:tcW w:w="122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17-25 June 2026,</w:t>
            </w:r>
          </w:p>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Maharashtra</w:t>
            </w:r>
          </w:p>
        </w:tc>
        <w:tc>
          <w:tcPr>
            <w:tcW w:w="132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2</w:t>
            </w:r>
          </w:p>
        </w:tc>
        <w:tc>
          <w:tcPr>
            <w:tcW w:w="158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Rosneft</w:t>
            </w:r>
          </w:p>
        </w:tc>
        <w:tc>
          <w:tcPr>
            <w:tcW w:w="109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2</w:t>
            </w:r>
          </w:p>
        </w:tc>
        <w:tc>
          <w:tcPr>
            <w:tcW w:w="288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left"/>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Business meetings with Nayara Energy were conducted</w:t>
            </w:r>
          </w:p>
        </w:tc>
      </w:tr>
    </w:tbl>
    <w:p>
      <w:pPr>
        <w:pStyle w:val="Normal"/>
        <w:spacing w:lineRule="auto" w:line="240" w:before="0" w:after="0"/>
        <w:ind w:hanging="0" w:left="0" w:right="0"/>
        <w:rPr>
          <w:highlight w:val="none"/>
          <w:shd w:fill="auto" w:val="clear"/>
        </w:rPr>
      </w:pPr>
      <w:r>
        <w:rPr>
          <w:rFonts w:cs="Arial" w:ascii="URW Bookman" w:hAnsi="URW Bookman"/>
          <w:color w:val="000000"/>
          <w:sz w:val="16"/>
          <w:szCs w:val="16"/>
          <w:shd w:fill="auto" w:val="clear"/>
        </w:rPr>
        <w:tab/>
      </w:r>
    </w:p>
    <w:tbl>
      <w:tblPr>
        <w:tblW w:w="9021" w:type="dxa"/>
        <w:jc w:val="left"/>
        <w:tblInd w:w="1116" w:type="dxa"/>
        <w:tblLayout w:type="fixed"/>
        <w:tblCellMar>
          <w:top w:w="0" w:type="dxa"/>
          <w:left w:w="108" w:type="dxa"/>
          <w:bottom w:w="0" w:type="dxa"/>
          <w:right w:w="108" w:type="dxa"/>
        </w:tblCellMar>
      </w:tblPr>
      <w:tblGrid>
        <w:gridCol w:w="1980"/>
        <w:gridCol w:w="7041"/>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Visa Section of Embassy of India, Moscow, Records of E&amp;C Wing</w:t>
            </w:r>
          </w:p>
        </w:tc>
      </w:tr>
    </w:tbl>
    <w:p>
      <w:pPr>
        <w:pStyle w:val="Normal"/>
        <w:numPr>
          <w:ilvl w:val="0"/>
          <w:numId w:val="0"/>
        </w:numPr>
        <w:spacing w:lineRule="auto" w:line="240" w:before="0" w:after="0"/>
        <w:ind w:hanging="0" w:left="0" w:right="0"/>
        <w:outlineLvl w:val="0"/>
        <w:rPr>
          <w:rFonts w:ascii="URW Bookman" w:hAnsi="URW Bookman" w:cs="Arial"/>
          <w:b/>
          <w:color w:val="000000"/>
          <w:sz w:val="16"/>
          <w:szCs w:val="16"/>
          <w:highlight w:val="none"/>
          <w:shd w:fill="auto" w:val="clear"/>
        </w:rPr>
      </w:pPr>
      <w:r>
        <w:rPr>
          <w:rFonts w:cs="Arial" w:ascii="URW Bookman" w:hAnsi="URW Bookman"/>
          <w:b/>
          <w:color w:val="000000"/>
          <w:sz w:val="16"/>
          <w:szCs w:val="16"/>
          <w:shd w:fill="auto" w:val="clear"/>
        </w:rPr>
      </w:r>
    </w:p>
    <w:p>
      <w:pPr>
        <w:pStyle w:val="Normal"/>
        <w:numPr>
          <w:ilvl w:val="0"/>
          <w:numId w:val="0"/>
        </w:numPr>
        <w:spacing w:lineRule="auto" w:line="240" w:before="0" w:after="0"/>
        <w:ind w:hanging="0" w:left="0" w:right="0"/>
        <w:outlineLvl w:val="0"/>
        <w:rPr>
          <w:highlight w:val="none"/>
          <w:shd w:fill="auto" w:val="clear"/>
        </w:rPr>
      </w:pPr>
      <w:r>
        <w:rPr>
          <w:rFonts w:cs="Arial" w:ascii="URW Bookman" w:hAnsi="URW Bookman"/>
          <w:b/>
          <w:color w:val="000000"/>
          <w:sz w:val="16"/>
          <w:szCs w:val="16"/>
          <w:shd w:fill="auto" w:val="clear"/>
        </w:rPr>
        <w:t>C. Tourism:</w:t>
      </w:r>
    </w:p>
    <w:p>
      <w:pPr>
        <w:pStyle w:val="Normal"/>
        <w:spacing w:lineRule="auto" w:line="240" w:before="0" w:after="0"/>
        <w:ind w:hanging="0" w:left="0" w:right="0"/>
        <w:rPr>
          <w:rFonts w:ascii="URW Bookman" w:hAnsi="URW Bookman" w:cs="Arial"/>
          <w:b/>
          <w:bCs/>
          <w:color w:val="000000"/>
          <w:sz w:val="16"/>
          <w:szCs w:val="16"/>
          <w:highlight w:val="none"/>
          <w:shd w:fill="auto" w:val="clear"/>
          <w:lang w:val="en-IN"/>
        </w:rPr>
      </w:pPr>
      <w:r>
        <w:rPr>
          <w:rFonts w:cs="Arial" w:ascii="URW Bookman" w:hAnsi="URW Bookman"/>
          <w:b/>
          <w:bCs/>
          <w:color w:val="000000"/>
          <w:sz w:val="16"/>
          <w:szCs w:val="16"/>
          <w:shd w:fill="auto" w:val="clear"/>
          <w:lang w:val="en-IN"/>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lang w:val="en-IN"/>
        </w:rPr>
        <w:t>a.</w:t>
        <w:tab/>
        <w:t>Tourist/Business Visa Issued by Missions:</w:t>
      </w:r>
    </w:p>
    <w:tbl>
      <w:tblPr>
        <w:tblW w:w="10031" w:type="dxa"/>
        <w:jc w:val="left"/>
        <w:tblInd w:w="108" w:type="dxa"/>
        <w:tblLayout w:type="fixed"/>
        <w:tblCellMar>
          <w:top w:w="0" w:type="dxa"/>
          <w:left w:w="108" w:type="dxa"/>
          <w:bottom w:w="0" w:type="dxa"/>
          <w:right w:w="108" w:type="dxa"/>
        </w:tblCellMar>
      </w:tblPr>
      <w:tblGrid>
        <w:gridCol w:w="656"/>
        <w:gridCol w:w="4359"/>
        <w:gridCol w:w="5016"/>
      </w:tblGrid>
      <w:tr>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color w:val="000000"/>
                <w:kern w:val="0"/>
                <w:sz w:val="16"/>
                <w:szCs w:val="16"/>
                <w:shd w:fill="auto" w:val="clear"/>
                <w:lang w:val="en-IN" w:eastAsia="en-US" w:bidi="ar-SA"/>
              </w:rPr>
              <w:t>S. No.</w:t>
            </w:r>
          </w:p>
        </w:tc>
        <w:tc>
          <w:tcPr>
            <w:tcW w:w="43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strike w:val="false"/>
                <w:dstrike w:val="false"/>
                <w:color w:val="000000"/>
                <w:kern w:val="0"/>
                <w:sz w:val="16"/>
                <w:szCs w:val="16"/>
                <w:shd w:fill="auto" w:val="clear"/>
                <w:lang w:val="en-IN" w:eastAsia="en-US" w:bidi="ar-SA"/>
              </w:rPr>
              <w:t>No. of Tourist Visa issued during</w:t>
            </w:r>
          </w:p>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strike w:val="false"/>
                <w:dstrike w:val="false"/>
                <w:color w:val="000000"/>
                <w:kern w:val="0"/>
                <w:sz w:val="16"/>
                <w:szCs w:val="16"/>
                <w:shd w:fill="auto" w:val="clear"/>
                <w:lang w:val="en-IN" w:eastAsia="en-US" w:bidi="ar-SA"/>
              </w:rPr>
              <w:t>June 2026</w:t>
            </w:r>
          </w:p>
        </w:tc>
        <w:tc>
          <w:tcPr>
            <w:tcW w:w="5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bCs/>
                <w:strike w:val="false"/>
                <w:dstrike w:val="false"/>
                <w:color w:val="000000"/>
                <w:kern w:val="0"/>
                <w:sz w:val="16"/>
                <w:szCs w:val="16"/>
                <w:shd w:fill="auto" w:val="clear"/>
                <w:lang w:val="en-IN" w:eastAsia="en-US" w:bidi="ar-SA"/>
              </w:rPr>
              <w:t>No. of Business Visa issued during</w:t>
              <w:br/>
              <w:t>June 2026</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color w:val="000000"/>
                <w:kern w:val="0"/>
                <w:sz w:val="16"/>
                <w:szCs w:val="16"/>
                <w:shd w:fill="auto" w:val="clear"/>
                <w:lang w:val="en-US" w:eastAsia="en-US" w:bidi="ar-SA"/>
              </w:rPr>
              <w:t>1.</w:t>
            </w:r>
          </w:p>
        </w:tc>
        <w:tc>
          <w:tcPr>
            <w:tcW w:w="43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val="false"/>
                <w:bCs w:val="false"/>
                <w:strike w:val="false"/>
                <w:dstrike w:val="false"/>
                <w:color w:val="000000"/>
                <w:kern w:val="0"/>
                <w:sz w:val="16"/>
                <w:szCs w:val="16"/>
                <w:shd w:fill="auto" w:val="clear"/>
                <w:lang w:val="en-US" w:eastAsia="en-US" w:bidi="ar-SA"/>
              </w:rPr>
              <w:t xml:space="preserve">08 in </w:t>
            </w:r>
            <w:r>
              <w:rPr>
                <w:rFonts w:eastAsia="Calibri" w:cs="Arial" w:ascii="URW Bookman" w:hAnsi="URW Bookman"/>
                <w:b w:val="false"/>
                <w:bCs w:val="false"/>
                <w:strike w:val="false"/>
                <w:dstrike w:val="false"/>
                <w:color w:val="000000"/>
                <w:kern w:val="0"/>
                <w:sz w:val="16"/>
                <w:szCs w:val="16"/>
                <w:shd w:fill="auto" w:val="clear"/>
                <w:lang w:val="en-IN" w:eastAsia="en-US" w:bidi="ar-SA"/>
              </w:rPr>
              <w:t>June</w:t>
            </w:r>
            <w:r>
              <w:rPr>
                <w:rFonts w:eastAsia="Calibri" w:cs="Arial" w:ascii="URW Bookman" w:hAnsi="URW Bookman"/>
                <w:b w:val="false"/>
                <w:bCs w:val="false"/>
                <w:strike w:val="false"/>
                <w:dstrike w:val="false"/>
                <w:color w:val="000000"/>
                <w:kern w:val="0"/>
                <w:sz w:val="16"/>
                <w:szCs w:val="16"/>
                <w:shd w:fill="auto" w:val="clear"/>
                <w:lang w:val="en-US" w:eastAsia="en-US" w:bidi="ar-SA"/>
              </w:rPr>
              <w:t xml:space="preserve"> 2026</w:t>
            </w:r>
          </w:p>
        </w:tc>
        <w:tc>
          <w:tcPr>
            <w:tcW w:w="50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b w:val="false"/>
                <w:bCs w:val="false"/>
                <w:strike w:val="false"/>
                <w:dstrike w:val="false"/>
                <w:color w:val="000000"/>
                <w:kern w:val="0"/>
                <w:sz w:val="16"/>
                <w:szCs w:val="16"/>
                <w:shd w:fill="auto" w:val="clear"/>
                <w:lang w:val="en-US" w:eastAsia="en-US" w:bidi="ar-SA"/>
              </w:rPr>
              <w:t xml:space="preserve">236 in </w:t>
            </w:r>
            <w:r>
              <w:rPr>
                <w:rFonts w:eastAsia="Calibri" w:cs="Arial" w:ascii="URW Bookman" w:hAnsi="URW Bookman"/>
                <w:b w:val="false"/>
                <w:bCs w:val="false"/>
                <w:strike w:val="false"/>
                <w:dstrike w:val="false"/>
                <w:color w:val="000000"/>
                <w:kern w:val="0"/>
                <w:sz w:val="16"/>
                <w:szCs w:val="16"/>
                <w:shd w:fill="auto" w:val="clear"/>
                <w:lang w:val="en-IN" w:eastAsia="en-US" w:bidi="ar-SA"/>
              </w:rPr>
              <w:t>June</w:t>
            </w:r>
            <w:r>
              <w:rPr>
                <w:rFonts w:eastAsia="Calibri" w:cs="Arial" w:ascii="URW Bookman" w:hAnsi="URW Bookman"/>
                <w:b w:val="false"/>
                <w:bCs w:val="false"/>
                <w:strike w:val="false"/>
                <w:dstrike w:val="false"/>
                <w:color w:val="000000"/>
                <w:kern w:val="0"/>
                <w:sz w:val="16"/>
                <w:szCs w:val="16"/>
                <w:shd w:fill="auto" w:val="clear"/>
                <w:lang w:val="en-US" w:eastAsia="en-US" w:bidi="ar-SA"/>
              </w:rPr>
              <w:t xml:space="preserve"> 2026</w:t>
            </w:r>
          </w:p>
        </w:tc>
      </w:tr>
    </w:tbl>
    <w:p>
      <w:pPr>
        <w:pStyle w:val="Normal"/>
        <w:spacing w:lineRule="auto" w:line="240" w:before="0" w:after="0"/>
        <w:ind w:hanging="0" w:left="0" w:right="0"/>
        <w:rPr>
          <w:rFonts w:ascii="URW Bookman" w:hAnsi="URW Bookman" w:cs="Arial"/>
          <w:b/>
          <w:bCs/>
          <w:color w:val="000000"/>
          <w:sz w:val="16"/>
          <w:szCs w:val="16"/>
          <w:highlight w:val="none"/>
          <w:shd w:fill="auto" w:val="clear"/>
          <w:lang w:val="en-IN"/>
        </w:rPr>
      </w:pPr>
      <w:r>
        <w:rPr>
          <w:rFonts w:cs="Arial" w:ascii="URW Bookman" w:hAnsi="URW Bookman"/>
          <w:b/>
          <w:bCs/>
          <w:color w:val="000000"/>
          <w:sz w:val="16"/>
          <w:szCs w:val="16"/>
          <w:shd w:fill="auto" w:val="clear"/>
          <w:lang w:val="en-IN"/>
        </w:rPr>
      </w:r>
    </w:p>
    <w:tbl>
      <w:tblPr>
        <w:tblW w:w="9021" w:type="dxa"/>
        <w:jc w:val="left"/>
        <w:tblInd w:w="1116" w:type="dxa"/>
        <w:tblLayout w:type="fixed"/>
        <w:tblCellMar>
          <w:top w:w="0" w:type="dxa"/>
          <w:left w:w="108" w:type="dxa"/>
          <w:bottom w:w="0" w:type="dxa"/>
          <w:right w:w="108" w:type="dxa"/>
        </w:tblCellMar>
      </w:tblPr>
      <w:tblGrid>
        <w:gridCol w:w="1980"/>
        <w:gridCol w:w="7041"/>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Visa Section of Embassy of India, Moscow</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outlineLvl w:val="0"/>
        <w:rPr>
          <w:rFonts w:ascii="URW Bookman" w:hAnsi="URW Bookman" w:cs="Arial"/>
          <w:b/>
          <w:color w:val="000000"/>
          <w:sz w:val="16"/>
          <w:szCs w:val="16"/>
          <w:highlight w:val="none"/>
          <w:shd w:fill="auto" w:val="clear"/>
        </w:rPr>
      </w:pPr>
      <w:r>
        <w:rPr>
          <w:rFonts w:cs="Arial" w:ascii="URW Bookman" w:hAnsi="URW Bookman"/>
          <w:b/>
          <w:color w:val="000000"/>
          <w:sz w:val="16"/>
          <w:szCs w:val="16"/>
          <w:shd w:fill="auto" w:val="clear"/>
        </w:rPr>
      </w:r>
    </w:p>
    <w:p>
      <w:pPr>
        <w:pStyle w:val="Normal"/>
        <w:spacing w:lineRule="auto" w:line="240" w:before="0" w:after="0"/>
        <w:ind w:hanging="0" w:left="0" w:right="0"/>
        <w:rPr>
          <w:rFonts w:ascii="URW Bookman" w:hAnsi="URW Bookman"/>
          <w:color w:val="000000"/>
          <w:sz w:val="16"/>
          <w:szCs w:val="16"/>
          <w:highlight w:val="none"/>
          <w:shd w:fill="auto" w:val="clear"/>
        </w:rPr>
      </w:pPr>
      <w:r>
        <w:rPr>
          <w:rFonts w:ascii="URW Bookman" w:hAnsi="URW Bookman"/>
          <w:color w:val="000000"/>
          <w:sz w:val="16"/>
          <w:szCs w:val="16"/>
          <w:shd w:fill="auto" w:val="clear"/>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lang w:val="en-IN"/>
        </w:rPr>
        <w:t xml:space="preserve">b. </w:t>
        <w:tab/>
        <w:t>Any advisory issued by the country for travelling to India:</w:t>
      </w:r>
    </w:p>
    <w:tbl>
      <w:tblPr>
        <w:tblW w:w="10029" w:type="dxa"/>
        <w:jc w:val="left"/>
        <w:tblInd w:w="113" w:type="dxa"/>
        <w:tblLayout w:type="fixed"/>
        <w:tblCellMar>
          <w:top w:w="55" w:type="dxa"/>
          <w:left w:w="108" w:type="dxa"/>
          <w:bottom w:w="55" w:type="dxa"/>
          <w:right w:w="108" w:type="dxa"/>
        </w:tblCellMar>
      </w:tblPr>
      <w:tblGrid>
        <w:gridCol w:w="518"/>
        <w:gridCol w:w="1299"/>
        <w:gridCol w:w="5285"/>
        <w:gridCol w:w="1555"/>
        <w:gridCol w:w="1372"/>
      </w:tblGrid>
      <w:tr>
        <w:trPr/>
        <w:tc>
          <w:tcPr>
            <w:tcW w:w="518"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S. No.</w:t>
            </w:r>
          </w:p>
        </w:tc>
        <w:tc>
          <w:tcPr>
            <w:tcW w:w="1299"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Date</w:t>
            </w:r>
          </w:p>
        </w:tc>
        <w:tc>
          <w:tcPr>
            <w:tcW w:w="528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Advisory</w:t>
            </w:r>
          </w:p>
        </w:tc>
        <w:tc>
          <w:tcPr>
            <w:tcW w:w="155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Reason</w:t>
            </w:r>
          </w:p>
        </w:tc>
        <w:tc>
          <w:tcPr>
            <w:tcW w:w="1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Action Taken</w:t>
            </w:r>
          </w:p>
        </w:tc>
      </w:tr>
      <w:tr>
        <w:trPr/>
        <w:tc>
          <w:tcPr>
            <w:tcW w:w="518" w:type="dxa"/>
            <w:tcBorders>
              <w:left w:val="single" w:sz="4" w:space="0" w:color="000000"/>
              <w:bottom w:val="single" w:sz="4" w:space="0" w:color="000000"/>
            </w:tcBorders>
          </w:tcPr>
          <w:p>
            <w:pPr>
              <w:pStyle w:val="Normal"/>
              <w:widowControl w:val="false"/>
              <w:spacing w:lineRule="auto" w:line="240" w:before="0" w:after="0"/>
              <w:ind w:hanging="0" w:left="0" w:right="0"/>
              <w:jc w:val="left"/>
              <w:rPr>
                <w:highlight w:val="none"/>
                <w:shd w:fill="auto" w:val="clear"/>
              </w:rPr>
            </w:pPr>
            <w:r>
              <w:rPr>
                <w:rFonts w:eastAsia="Calibri" w:cs="Arial" w:ascii="URW Bookman" w:hAnsi="URW Bookman"/>
                <w:strike w:val="false"/>
                <w:dstrike w:val="false"/>
                <w:color w:val="000000"/>
                <w:kern w:val="0"/>
                <w:sz w:val="16"/>
                <w:szCs w:val="16"/>
                <w:shd w:fill="auto" w:val="clear"/>
                <w:lang w:val="en-US" w:eastAsia="en-US" w:bidi="ar-SA"/>
              </w:rPr>
              <w:t>1</w:t>
            </w:r>
          </w:p>
        </w:tc>
        <w:tc>
          <w:tcPr>
            <w:tcW w:w="1299" w:type="dxa"/>
            <w:tcBorders>
              <w:left w:val="single" w:sz="4" w:space="0" w:color="000000"/>
              <w:bottom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strike w:val="false"/>
                <w:dstrike w:val="false"/>
                <w:color w:val="000000"/>
                <w:kern w:val="0"/>
                <w:sz w:val="16"/>
                <w:szCs w:val="16"/>
                <w:shd w:fill="auto" w:val="clear"/>
                <w:lang w:val="en-US" w:eastAsia="en-US" w:bidi="ar-SA"/>
              </w:rPr>
              <w:t>03/06/2026</w:t>
            </w:r>
          </w:p>
        </w:tc>
        <w:tc>
          <w:tcPr>
            <w:tcW w:w="5285" w:type="dxa"/>
            <w:tcBorders>
              <w:left w:val="single" w:sz="4" w:space="0" w:color="000000"/>
              <w:bottom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strike w:val="false"/>
                <w:dstrike w:val="false"/>
                <w:color w:val="000000"/>
                <w:kern w:val="0"/>
                <w:sz w:val="16"/>
                <w:szCs w:val="16"/>
                <w:shd w:fill="auto" w:val="clear"/>
                <w:lang w:val="en-US" w:eastAsia="en-US" w:bidi="ar-SA"/>
              </w:rPr>
              <w:t>Russian Embassy informed that as per updated rules, foreign citizens holding 180 days Indian Visas wishing to stay in India beyond 180 days, shall register with migration authorities before the expiry of the 180 days period. Visa extension is possible only in outstanding cases.</w:t>
            </w:r>
          </w:p>
        </w:tc>
        <w:tc>
          <w:tcPr>
            <w:tcW w:w="1555" w:type="dxa"/>
            <w:tcBorders>
              <w:left w:val="single" w:sz="4" w:space="0" w:color="000000"/>
              <w:bottom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strike w:val="false"/>
                <w:dstrike w:val="false"/>
                <w:color w:val="000000"/>
                <w:kern w:val="0"/>
                <w:sz w:val="16"/>
                <w:szCs w:val="16"/>
                <w:shd w:fill="auto" w:val="clear"/>
                <w:lang w:val="en-US" w:eastAsia="en-US" w:bidi="ar-SA"/>
              </w:rPr>
              <w:t>NA</w:t>
            </w:r>
          </w:p>
        </w:tc>
        <w:tc>
          <w:tcPr>
            <w:tcW w:w="137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highlight w:val="none"/>
                <w:shd w:fill="auto" w:val="clear"/>
              </w:rPr>
            </w:pPr>
            <w:r>
              <w:rPr>
                <w:rFonts w:eastAsia="Calibri" w:cs="Arial" w:ascii="URW Bookman" w:hAnsi="URW Bookman"/>
                <w:strike w:val="false"/>
                <w:dstrike w:val="false"/>
                <w:color w:val="000000"/>
                <w:kern w:val="0"/>
                <w:sz w:val="16"/>
                <w:szCs w:val="16"/>
                <w:shd w:fill="auto" w:val="clear"/>
                <w:lang w:val="en-US" w:eastAsia="en-US" w:bidi="ar-SA"/>
              </w:rPr>
              <w:t>NA</w:t>
            </w:r>
          </w:p>
        </w:tc>
      </w:tr>
    </w:tbl>
    <w:p>
      <w:pPr>
        <w:pStyle w:val="Normal"/>
        <w:spacing w:lineRule="auto" w:line="240" w:before="0" w:after="0"/>
        <w:ind w:hanging="0" w:left="0" w:right="0"/>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rHeight w:val="288" w:hRule="atLeast"/>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6840" w:type="dxa"/>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pPr>
            <w:r>
              <w:rPr>
                <w:rStyle w:val="Hyperlink"/>
                <w:rFonts w:cs="Arial" w:ascii="URW Bookman" w:hAnsi="URW Bookman"/>
                <w:color w:val="000000"/>
                <w:kern w:val="0"/>
                <w:sz w:val="16"/>
                <w:szCs w:val="16"/>
                <w:u w:val="none"/>
                <w:shd w:fill="auto" w:val="clear"/>
                <w:lang w:eastAsia="en-US" w:bidi="ar-SA"/>
              </w:rPr>
              <w:t xml:space="preserve"> </w:t>
            </w:r>
            <w:r>
              <w:rPr>
                <w:rStyle w:val="Hyperlink"/>
                <w:rFonts w:eastAsia="Calibri" w:cs="Times New Roman" w:ascii="URW Bookman" w:hAnsi="URW Bookman"/>
                <w:b w:val="false"/>
                <w:bCs w:val="false"/>
                <w:color w:val="000000"/>
                <w:kern w:val="0"/>
                <w:sz w:val="16"/>
                <w:szCs w:val="16"/>
                <w:u w:val="none"/>
                <w:shd w:fill="auto" w:val="clear"/>
                <w:lang w:val="en-US" w:eastAsia="en-US" w:bidi="ar-SA"/>
              </w:rPr>
              <w:t>Embassy of Russia in New Delhi</w:t>
            </w:r>
          </w:p>
        </w:tc>
      </w:tr>
    </w:tbl>
    <w:p>
      <w:pPr>
        <w:pStyle w:val="Normal"/>
        <w:spacing w:lineRule="auto" w:line="240" w:before="0" w:after="0"/>
        <w:ind w:hanging="0" w:left="0" w:right="0"/>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Normal"/>
        <w:spacing w:lineRule="auto" w:line="240" w:before="0" w:after="0"/>
        <w:ind w:hanging="0" w:left="0" w:right="0"/>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lang w:val="en-IN"/>
        </w:rPr>
        <w:t>D.</w:t>
        <w:tab/>
        <w:t>Opportunities in technology/Investment/Procurement:</w:t>
      </w:r>
    </w:p>
    <w:p>
      <w:pPr>
        <w:pStyle w:val="Normal"/>
        <w:spacing w:lineRule="auto" w:line="240" w:before="0" w:after="0"/>
        <w:ind w:hanging="0" w:left="0" w:right="0"/>
        <w:rPr>
          <w:rFonts w:ascii="URW Bookman" w:hAnsi="URW Bookman" w:cs="Arial"/>
          <w:b/>
          <w:bCs/>
          <w:color w:val="000000"/>
          <w:sz w:val="16"/>
          <w:szCs w:val="16"/>
          <w:highlight w:val="none"/>
          <w:shd w:fill="auto" w:val="clear"/>
          <w:lang w:val="en-IN"/>
        </w:rPr>
      </w:pPr>
      <w:r>
        <w:rPr>
          <w:rFonts w:cs="Arial" w:ascii="URW Bookman" w:hAnsi="URW Bookman"/>
          <w:b/>
          <w:bCs/>
          <w:color w:val="000000"/>
          <w:sz w:val="16"/>
          <w:szCs w:val="16"/>
          <w:shd w:fill="auto" w:val="clear"/>
          <w:lang w:val="en-IN"/>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lang w:val="en-IN"/>
        </w:rPr>
        <w:t xml:space="preserve">a. </w:t>
        <w:tab/>
        <w:t>Opportunities in technology:</w:t>
      </w:r>
    </w:p>
    <w:tbl>
      <w:tblPr>
        <w:tblW w:w="10028" w:type="dxa"/>
        <w:jc w:val="left"/>
        <w:tblInd w:w="108" w:type="dxa"/>
        <w:tblLayout w:type="fixed"/>
        <w:tblCellMar>
          <w:top w:w="0" w:type="dxa"/>
          <w:left w:w="108" w:type="dxa"/>
          <w:bottom w:w="0" w:type="dxa"/>
          <w:right w:w="108" w:type="dxa"/>
        </w:tblCellMar>
      </w:tblPr>
      <w:tblGrid>
        <w:gridCol w:w="537"/>
        <w:gridCol w:w="1267"/>
        <w:gridCol w:w="1091"/>
        <w:gridCol w:w="5130"/>
        <w:gridCol w:w="2003"/>
      </w:tblGrid>
      <w:tr>
        <w:trPr/>
        <w:tc>
          <w:tcPr>
            <w:tcW w:w="5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S. No.</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Name of Technology</w:t>
            </w:r>
          </w:p>
        </w:tc>
        <w:tc>
          <w:tcPr>
            <w:tcW w:w="10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Sector</w:t>
            </w:r>
          </w:p>
        </w:tc>
        <w:tc>
          <w:tcPr>
            <w:tcW w:w="5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Potential opportunity for ToT/ collaboration</w:t>
            </w:r>
          </w:p>
        </w:tc>
        <w:tc>
          <w:tcPr>
            <w:tcW w:w="20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B2B partnership possible/ identified companies</w:t>
            </w:r>
          </w:p>
        </w:tc>
      </w:tr>
      <w:tr>
        <w:trPr/>
        <w:tc>
          <w:tcPr>
            <w:tcW w:w="537"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1</w:t>
            </w:r>
          </w:p>
        </w:tc>
        <w:tc>
          <w:tcPr>
            <w:tcW w:w="1267" w:type="dxa"/>
            <w:tcBorders>
              <w:left w:val="single" w:sz="4" w:space="0" w:color="000000"/>
              <w:bottom w:val="single" w:sz="4" w:space="0" w:color="000000"/>
              <w:right w:val="single" w:sz="4" w:space="0" w:color="000000"/>
            </w:tcBorders>
          </w:tcPr>
          <w:p>
            <w:pPr>
              <w:pStyle w:val="TableContents"/>
              <w:widowControl w:val="false"/>
              <w:spacing w:before="0" w:after="200"/>
              <w:rPr>
                <w:rFonts w:ascii="Times New Roman" w:hAnsi="Times New Roman" w:eastAsia="Calibri" w:cs="Times New Roman"/>
                <w:color w:val="000000"/>
                <w:kern w:val="0"/>
                <w:sz w:val="16"/>
                <w:szCs w:val="16"/>
                <w:shd w:fill="auto" w:val="clear"/>
                <w:lang w:val="en-US" w:eastAsia="en-US" w:bidi="ar-SA"/>
              </w:rPr>
            </w:pPr>
            <w:r>
              <w:rPr>
                <w:rFonts w:eastAsia="Calibri" w:cs="Times New Roman"/>
                <w:color w:val="000000"/>
                <w:kern w:val="0"/>
                <w:sz w:val="16"/>
                <w:szCs w:val="16"/>
                <w:shd w:fill="auto" w:val="clear"/>
                <w:lang w:val="en-US" w:eastAsia="en-US" w:bidi="ar-SA"/>
              </w:rPr>
              <w:t>Mathematical model to predict the behavior of steel under constant loads</w:t>
            </w:r>
          </w:p>
        </w:tc>
        <w:tc>
          <w:tcPr>
            <w:tcW w:w="1091" w:type="dxa"/>
            <w:tcBorders>
              <w:left w:val="single" w:sz="4" w:space="0" w:color="000000"/>
              <w:bottom w:val="single" w:sz="4" w:space="0" w:color="000000"/>
              <w:right w:val="single" w:sz="4" w:space="0" w:color="000000"/>
            </w:tcBorders>
          </w:tcPr>
          <w:p>
            <w:pPr>
              <w:pStyle w:val="TableContents"/>
              <w:widowControl w:val="false"/>
              <w:spacing w:before="0" w:after="200"/>
              <w:rPr>
                <w:rFonts w:ascii="Times New Roman" w:hAnsi="Times New Roman" w:eastAsia="Calibri" w:cs="Times New Roman"/>
                <w:color w:val="000000"/>
                <w:kern w:val="0"/>
                <w:sz w:val="16"/>
                <w:szCs w:val="16"/>
                <w:shd w:fill="auto" w:val="clear"/>
                <w:lang w:val="en-US" w:eastAsia="en-US" w:bidi="ar-SA"/>
              </w:rPr>
            </w:pPr>
            <w:r>
              <w:rPr>
                <w:rFonts w:eastAsia="Calibri" w:cs="Times New Roman"/>
                <w:color w:val="000000"/>
                <w:kern w:val="0"/>
                <w:sz w:val="16"/>
                <w:szCs w:val="16"/>
                <w:shd w:fill="auto" w:val="clear"/>
                <w:lang w:val="en-US" w:eastAsia="en-US" w:bidi="ar-SA"/>
              </w:rPr>
              <w:t>Materials</w:t>
            </w:r>
          </w:p>
        </w:tc>
        <w:tc>
          <w:tcPr>
            <w:tcW w:w="5130" w:type="dxa"/>
            <w:tcBorders>
              <w:left w:val="single" w:sz="4" w:space="0" w:color="000000"/>
              <w:bottom w:val="single" w:sz="4" w:space="0" w:color="000000"/>
              <w:right w:val="single" w:sz="4" w:space="0" w:color="000000"/>
            </w:tcBorders>
          </w:tcPr>
          <w:p>
            <w:pPr>
              <w:pStyle w:val="TableContents"/>
              <w:widowControl w:val="false"/>
              <w:spacing w:before="0" w:after="200"/>
              <w:rPr>
                <w:rFonts w:ascii="Times New Roman" w:hAnsi="Times New Roman" w:eastAsia="Calibri" w:cs="Times New Roman"/>
                <w:color w:val="000000"/>
                <w:kern w:val="0"/>
                <w:sz w:val="16"/>
                <w:szCs w:val="16"/>
                <w:shd w:fill="auto" w:val="clear"/>
                <w:lang w:val="en-US" w:eastAsia="en-US" w:bidi="ar-SA"/>
              </w:rPr>
            </w:pPr>
            <w:r>
              <w:rPr>
                <w:rFonts w:eastAsia="Calibri" w:cs="Times New Roman"/>
                <w:color w:val="000000"/>
                <w:kern w:val="0"/>
                <w:sz w:val="16"/>
                <w:szCs w:val="16"/>
                <w:shd w:fill="auto" w:val="clear"/>
                <w:lang w:val="en-US" w:eastAsia="en-US" w:bidi="ar-SA"/>
              </w:rPr>
              <w:t>Specialists from St. Petersburg State University and the Institute for Problems in Mechanical Engineering of the Russian Academy of Sciences have developed a mathematical model to predict the behavior of steel under constant loads. The subject of the analysis was grade 20 steel, a composite of iron and carbon. This alloy is known for its good weldability and ductility, as well as fracture resistance.</w:t>
            </w:r>
          </w:p>
        </w:tc>
        <w:tc>
          <w:tcPr>
            <w:tcW w:w="200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Machine building industry</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015" w:type="dxa"/>
        <w:jc w:val="left"/>
        <w:tblInd w:w="1116" w:type="dxa"/>
        <w:tblLayout w:type="fixed"/>
        <w:tblCellMar>
          <w:top w:w="0" w:type="dxa"/>
          <w:left w:w="108" w:type="dxa"/>
          <w:bottom w:w="0" w:type="dxa"/>
          <w:right w:w="108" w:type="dxa"/>
        </w:tblCellMar>
      </w:tblPr>
      <w:tblGrid>
        <w:gridCol w:w="1976"/>
        <w:gridCol w:w="7039"/>
      </w:tblGrid>
      <w:tr>
        <w:trPr/>
        <w:tc>
          <w:tcPr>
            <w:tcW w:w="1976"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sz w:val="16"/>
                <w:szCs w:val="16"/>
                <w:shd w:fill="auto" w:val="clear"/>
              </w:rPr>
              <w:t>Media reports</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lang w:val="en-IN"/>
        </w:rPr>
        <w:t xml:space="preserve">b. </w:t>
        <w:tab/>
        <w:t>Opportunities in procurement:</w:t>
      </w:r>
    </w:p>
    <w:tbl>
      <w:tblPr>
        <w:tblW w:w="10029" w:type="dxa"/>
        <w:jc w:val="left"/>
        <w:tblInd w:w="108" w:type="dxa"/>
        <w:tblLayout w:type="fixed"/>
        <w:tblCellMar>
          <w:top w:w="0" w:type="dxa"/>
          <w:left w:w="108" w:type="dxa"/>
          <w:bottom w:w="0" w:type="dxa"/>
          <w:right w:w="108" w:type="dxa"/>
        </w:tblCellMar>
      </w:tblPr>
      <w:tblGrid>
        <w:gridCol w:w="605"/>
        <w:gridCol w:w="1816"/>
        <w:gridCol w:w="1242"/>
        <w:gridCol w:w="3426"/>
        <w:gridCol w:w="2940"/>
      </w:tblGrid>
      <w:tr>
        <w:trPr/>
        <w:tc>
          <w:tcPr>
            <w:tcW w:w="605"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ind w:hanging="0" w:left="0" w:right="0"/>
              <w:jc w:val="center"/>
              <w:rPr/>
            </w:pPr>
            <w:r>
              <w:rPr>
                <w:rFonts w:cs="Arial" w:ascii="URW Bookman" w:hAnsi="URW Bookman"/>
                <w:b/>
                <w:bCs/>
                <w:color w:val="000000"/>
                <w:sz w:val="16"/>
                <w:szCs w:val="16"/>
                <w:shd w:fill="auto" w:val="clear"/>
                <w:lang w:val="en-IN"/>
              </w:rPr>
              <w:t>S. No.</w:t>
            </w:r>
          </w:p>
        </w:tc>
        <w:tc>
          <w:tcPr>
            <w:tcW w:w="1816"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ind w:hanging="0" w:left="0" w:right="0"/>
              <w:jc w:val="center"/>
              <w:rPr/>
            </w:pPr>
            <w:r>
              <w:rPr>
                <w:rFonts w:cs="Arial" w:ascii="URW Bookman" w:hAnsi="URW Bookman"/>
                <w:b/>
                <w:bCs/>
                <w:color w:val="000000"/>
                <w:sz w:val="16"/>
                <w:szCs w:val="16"/>
                <w:shd w:fill="auto" w:val="clear"/>
                <w:lang w:val="en-IN"/>
              </w:rPr>
              <w:t>Sector</w:t>
            </w:r>
          </w:p>
        </w:tc>
        <w:tc>
          <w:tcPr>
            <w:tcW w:w="1242"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ind w:hanging="0" w:left="0" w:right="0"/>
              <w:jc w:val="center"/>
              <w:rPr/>
            </w:pPr>
            <w:r>
              <w:rPr>
                <w:rFonts w:cs="Arial" w:ascii="URW Bookman" w:hAnsi="URW Bookman"/>
                <w:b/>
                <w:bCs/>
                <w:color w:val="000000"/>
                <w:sz w:val="16"/>
                <w:szCs w:val="16"/>
                <w:shd w:fill="auto" w:val="clear"/>
                <w:lang w:val="en-IN"/>
              </w:rPr>
              <w:t>Sector</w:t>
            </w:r>
          </w:p>
        </w:tc>
        <w:tc>
          <w:tcPr>
            <w:tcW w:w="3426"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ind w:hanging="0" w:left="0" w:right="0"/>
              <w:jc w:val="center"/>
              <w:rPr/>
            </w:pPr>
            <w:r>
              <w:rPr>
                <w:rFonts w:cs="Arial" w:ascii="URW Bookman" w:hAnsi="URW Bookman"/>
                <w:b/>
                <w:bCs/>
                <w:color w:val="000000"/>
                <w:sz w:val="16"/>
                <w:szCs w:val="16"/>
                <w:shd w:fill="auto" w:val="clear"/>
                <w:lang w:val="en-IN"/>
              </w:rPr>
              <w:t>Potential opportunity for ToT/ collaboration</w:t>
            </w:r>
          </w:p>
        </w:tc>
        <w:tc>
          <w:tcPr>
            <w:tcW w:w="2940" w:type="dxa"/>
            <w:tcBorders>
              <w:top w:val="single" w:sz="4" w:space="0" w:color="000000"/>
              <w:left w:val="single" w:sz="4" w:space="0" w:color="000000"/>
              <w:right w:val="single" w:sz="4" w:space="0" w:color="000000"/>
            </w:tcBorders>
            <w:vAlign w:val="center"/>
          </w:tcPr>
          <w:p>
            <w:pPr>
              <w:pStyle w:val="Normal"/>
              <w:widowControl w:val="false"/>
              <w:spacing w:lineRule="auto" w:line="240" w:before="0" w:after="0"/>
              <w:ind w:hanging="0" w:left="0" w:right="0"/>
              <w:jc w:val="center"/>
              <w:rPr/>
            </w:pPr>
            <w:r>
              <w:rPr>
                <w:rFonts w:cs="Arial" w:ascii="URW Bookman" w:hAnsi="URW Bookman"/>
                <w:b/>
                <w:bCs/>
                <w:color w:val="000000"/>
                <w:sz w:val="16"/>
                <w:szCs w:val="16"/>
                <w:shd w:fill="auto" w:val="clear"/>
                <w:lang w:val="en-IN"/>
              </w:rPr>
              <w:t>B2B partnership possible/ identified companies</w:t>
            </w:r>
          </w:p>
        </w:tc>
      </w:tr>
      <w:tr>
        <w:trPr/>
        <w:tc>
          <w:tcPr>
            <w:tcW w:w="60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shd w:fill="auto" w:val="clear"/>
              </w:rPr>
            </w:r>
          </w:p>
        </w:tc>
        <w:tc>
          <w:tcPr>
            <w:tcW w:w="181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shd w:fill="auto" w:val="clear"/>
              </w:rPr>
            </w:r>
          </w:p>
        </w:tc>
        <w:tc>
          <w:tcPr>
            <w:tcW w:w="124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shd w:fill="auto" w:val="clear"/>
              </w:rPr>
            </w:r>
          </w:p>
        </w:tc>
        <w:tc>
          <w:tcPr>
            <w:tcW w:w="342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shd w:fill="auto" w:val="clear"/>
              </w:rPr>
            </w:r>
          </w:p>
        </w:tc>
        <w:tc>
          <w:tcPr>
            <w:tcW w:w="294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shd w:fill="auto" w:val="clear"/>
              </w:rPr>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015" w:type="dxa"/>
        <w:jc w:val="left"/>
        <w:tblInd w:w="1116" w:type="dxa"/>
        <w:tblLayout w:type="fixed"/>
        <w:tblCellMar>
          <w:top w:w="0" w:type="dxa"/>
          <w:left w:w="108" w:type="dxa"/>
          <w:bottom w:w="0" w:type="dxa"/>
          <w:right w:w="108" w:type="dxa"/>
        </w:tblCellMar>
      </w:tblPr>
      <w:tblGrid>
        <w:gridCol w:w="1976"/>
        <w:gridCol w:w="7039"/>
      </w:tblGrid>
      <w:tr>
        <w:trPr/>
        <w:tc>
          <w:tcPr>
            <w:tcW w:w="1976"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sz w:val="16"/>
                <w:szCs w:val="16"/>
                <w:shd w:fill="auto" w:val="clear"/>
              </w:rPr>
              <w:t>Records of E&amp;C Wing</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rPr>
        <w:t>c.</w:t>
        <w:tab/>
        <w:t>Outbound Opportunities for investments/ assets on offer/major company divestment:</w:t>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10022" w:type="dxa"/>
        <w:jc w:val="left"/>
        <w:tblInd w:w="113" w:type="dxa"/>
        <w:tblLayout w:type="fixed"/>
        <w:tblCellMar>
          <w:top w:w="0" w:type="dxa"/>
          <w:left w:w="108" w:type="dxa"/>
          <w:bottom w:w="0" w:type="dxa"/>
          <w:right w:w="108" w:type="dxa"/>
        </w:tblCellMar>
      </w:tblPr>
      <w:tblGrid>
        <w:gridCol w:w="626"/>
        <w:gridCol w:w="1626"/>
        <w:gridCol w:w="5240"/>
        <w:gridCol w:w="2530"/>
      </w:tblGrid>
      <w:tr>
        <w:trPr/>
        <w:tc>
          <w:tcPr>
            <w:tcW w:w="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SR No.</w:t>
            </w:r>
          </w:p>
        </w:tc>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Sector Name</w:t>
            </w:r>
          </w:p>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(List attached)</w:t>
            </w:r>
          </w:p>
        </w:tc>
        <w:tc>
          <w:tcPr>
            <w:tcW w:w="52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Particulars of the asset /company</w:t>
            </w:r>
          </w:p>
        </w:tc>
        <w:tc>
          <w:tcPr>
            <w:tcW w:w="2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Contact details</w:t>
            </w:r>
          </w:p>
        </w:tc>
      </w:tr>
      <w:tr>
        <w:trPr/>
        <w:tc>
          <w:tcPr>
            <w:tcW w:w="62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1</w:t>
            </w:r>
          </w:p>
        </w:tc>
        <w:tc>
          <w:tcPr>
            <w:tcW w:w="162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Tourism</w:t>
            </w:r>
          </w:p>
        </w:tc>
        <w:tc>
          <w:tcPr>
            <w:tcW w:w="52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Creation of tourist complex with module houses in Nizhny Novgorod Region</w:t>
            </w:r>
          </w:p>
        </w:tc>
        <w:tc>
          <w:tcPr>
            <w:tcW w:w="253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Nizhny Novgorod Region Development Corporation</w:t>
            </w:r>
          </w:p>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krno@nn-invest.ru</w:t>
            </w:r>
          </w:p>
        </w:tc>
      </w:tr>
      <w:tr>
        <w:trPr/>
        <w:tc>
          <w:tcPr>
            <w:tcW w:w="62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2</w:t>
            </w:r>
          </w:p>
        </w:tc>
        <w:tc>
          <w:tcPr>
            <w:tcW w:w="162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Medical equipment</w:t>
            </w:r>
          </w:p>
        </w:tc>
        <w:tc>
          <w:tcPr>
            <w:tcW w:w="52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 xml:space="preserve"> </w:t>
            </w:r>
            <w:r>
              <w:rPr>
                <w:rFonts w:eastAsia="Calibri" w:cs="Times New Roman" w:ascii="URW Bookman" w:hAnsi="URW Bookman"/>
                <w:color w:val="000000"/>
                <w:kern w:val="0"/>
                <w:sz w:val="16"/>
                <w:szCs w:val="16"/>
                <w:shd w:fill="auto" w:val="clear"/>
                <w:lang w:val="en-US" w:eastAsia="en-US" w:bidi="ar-SA"/>
              </w:rPr>
              <w:t>Production of X-ray tubes for computer tomography units in Nizhny Novgorod Region</w:t>
            </w:r>
          </w:p>
        </w:tc>
        <w:tc>
          <w:tcPr>
            <w:tcW w:w="253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Nizhny Novgorod Region Development Corporation</w:t>
            </w:r>
          </w:p>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krno@nn-invest.ru</w:t>
            </w:r>
          </w:p>
        </w:tc>
      </w:tr>
      <w:tr>
        <w:trPr/>
        <w:tc>
          <w:tcPr>
            <w:tcW w:w="62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3</w:t>
            </w:r>
          </w:p>
        </w:tc>
        <w:tc>
          <w:tcPr>
            <w:tcW w:w="162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Textile</w:t>
            </w:r>
          </w:p>
        </w:tc>
        <w:tc>
          <w:tcPr>
            <w:tcW w:w="524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Production of synthetic fibers and threads in Ivanovo Region</w:t>
            </w:r>
          </w:p>
        </w:tc>
        <w:tc>
          <w:tcPr>
            <w:tcW w:w="253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Agency for Investments Attraction to Ivanovo Region</w:t>
            </w:r>
          </w:p>
          <w:p>
            <w:pPr>
              <w:pStyle w:val="Normal"/>
              <w:widowControl w:val="false"/>
              <w:spacing w:lineRule="auto" w:line="240" w:before="0" w:after="0"/>
              <w:ind w:hanging="0" w:left="0" w:right="0"/>
              <w:jc w:val="center"/>
              <w:rPr>
                <w:rFonts w:ascii="URW Bookman" w:hAnsi="URW Bookman" w:eastAsia="Calibri" w:cs="Times New Roman"/>
                <w:color w:val="000000"/>
                <w:kern w:val="0"/>
                <w:sz w:val="16"/>
                <w:szCs w:val="16"/>
                <w:shd w:fill="auto" w:val="clear"/>
                <w:lang w:val="en-US" w:eastAsia="en-US" w:bidi="ar-SA"/>
              </w:rPr>
            </w:pPr>
            <w:r>
              <w:rPr>
                <w:rFonts w:eastAsia="Calibri" w:cs="Times New Roman" w:ascii="URW Bookman" w:hAnsi="URW Bookman"/>
                <w:color w:val="000000"/>
                <w:kern w:val="0"/>
                <w:sz w:val="16"/>
                <w:szCs w:val="16"/>
                <w:shd w:fill="auto" w:val="clear"/>
                <w:lang w:val="en-US" w:eastAsia="en-US" w:bidi="ar-SA"/>
              </w:rPr>
              <w:t>info@aaiir.ru</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9015" w:type="dxa"/>
        <w:jc w:val="left"/>
        <w:tblInd w:w="1116" w:type="dxa"/>
        <w:tblLayout w:type="fixed"/>
        <w:tblCellMar>
          <w:top w:w="0" w:type="dxa"/>
          <w:left w:w="108" w:type="dxa"/>
          <w:bottom w:w="0" w:type="dxa"/>
          <w:right w:w="108" w:type="dxa"/>
        </w:tblCellMar>
      </w:tblPr>
      <w:tblGrid>
        <w:gridCol w:w="1976"/>
        <w:gridCol w:w="7039"/>
      </w:tblGrid>
      <w:tr>
        <w:trPr/>
        <w:tc>
          <w:tcPr>
            <w:tcW w:w="1976"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70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Records of E&amp;C Wing</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rPr>
        <w:t>d.</w:t>
        <w:tab/>
        <w:t>Export Opportunities - Information on tender Notices for projects and procurement which are open to Indian project exporters/ suppliers (USD 5 million &amp; above) – Government Procurement (GP) as well as non-GP.</w:t>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10168" w:type="dxa"/>
        <w:jc w:val="left"/>
        <w:tblInd w:w="25" w:type="dxa"/>
        <w:tblLayout w:type="fixed"/>
        <w:tblCellMar>
          <w:top w:w="55" w:type="dxa"/>
          <w:left w:w="55" w:type="dxa"/>
          <w:bottom w:w="55" w:type="dxa"/>
          <w:right w:w="55" w:type="dxa"/>
        </w:tblCellMar>
      </w:tblPr>
      <w:tblGrid>
        <w:gridCol w:w="460"/>
        <w:gridCol w:w="2111"/>
        <w:gridCol w:w="1265"/>
        <w:gridCol w:w="1082"/>
        <w:gridCol w:w="1249"/>
        <w:gridCol w:w="1901"/>
        <w:gridCol w:w="2100"/>
      </w:tblGrid>
      <w:tr>
        <w:trPr/>
        <w:tc>
          <w:tcPr>
            <w:tcW w:w="460" w:type="dxa"/>
            <w:tcBorders>
              <w:top w:val="single" w:sz="2" w:space="0" w:color="000000"/>
              <w:left w:val="single" w:sz="2" w:space="0" w:color="000000"/>
              <w:bottom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bCs/>
                <w:sz w:val="16"/>
                <w:szCs w:val="16"/>
                <w:shd w:fill="auto" w:val="clear"/>
              </w:rPr>
              <w:t>No.</w:t>
            </w:r>
          </w:p>
        </w:tc>
        <w:tc>
          <w:tcPr>
            <w:tcW w:w="2111" w:type="dxa"/>
            <w:tcBorders>
              <w:top w:val="single" w:sz="2" w:space="0" w:color="000000"/>
              <w:left w:val="single" w:sz="2" w:space="0" w:color="000000"/>
              <w:bottom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Procurement No, Date Announced,</w:t>
            </w:r>
          </w:p>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Bids Deadline</w:t>
            </w:r>
          </w:p>
        </w:tc>
        <w:tc>
          <w:tcPr>
            <w:tcW w:w="1265" w:type="dxa"/>
            <w:tcBorders>
              <w:top w:val="single" w:sz="2" w:space="0" w:color="000000"/>
              <w:left w:val="single" w:sz="2" w:space="0" w:color="000000"/>
              <w:bottom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Government or non-government procurement</w:t>
            </w:r>
          </w:p>
        </w:tc>
        <w:tc>
          <w:tcPr>
            <w:tcW w:w="1082" w:type="dxa"/>
            <w:tcBorders>
              <w:top w:val="single" w:sz="2" w:space="0" w:color="000000"/>
              <w:left w:val="single" w:sz="2" w:space="0" w:color="000000"/>
              <w:bottom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Sector</w:t>
            </w:r>
          </w:p>
        </w:tc>
        <w:tc>
          <w:tcPr>
            <w:tcW w:w="1249" w:type="dxa"/>
            <w:tcBorders>
              <w:top w:val="single" w:sz="2" w:space="0" w:color="000000"/>
              <w:left w:val="single" w:sz="2" w:space="0" w:color="000000"/>
              <w:bottom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The initial (maximum) contract price</w:t>
            </w:r>
          </w:p>
        </w:tc>
        <w:tc>
          <w:tcPr>
            <w:tcW w:w="1901" w:type="dxa"/>
            <w:tcBorders>
              <w:top w:val="single" w:sz="2" w:space="0" w:color="000000"/>
              <w:left w:val="single" w:sz="2" w:space="0" w:color="000000"/>
              <w:bottom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Description of procurement</w:t>
            </w:r>
          </w:p>
        </w:tc>
        <w:tc>
          <w:tcPr>
            <w:tcW w:w="2100" w:type="dxa"/>
            <w:tcBorders>
              <w:top w:val="single" w:sz="2" w:space="0" w:color="000000"/>
              <w:left w:val="single" w:sz="2" w:space="0" w:color="000000"/>
              <w:bottom w:val="single" w:sz="2" w:space="0" w:color="000000"/>
              <w:right w:val="single" w:sz="2" w:space="0" w:color="000000"/>
            </w:tcBorders>
          </w:tcPr>
          <w:p>
            <w:pPr>
              <w:pStyle w:val="Normal"/>
              <w:widowControl w:val="false"/>
              <w:tabs>
                <w:tab w:val="clear" w:pos="720"/>
              </w:tabs>
              <w:spacing w:lineRule="auto" w:line="240" w:before="0" w:after="0"/>
              <w:ind w:hanging="0" w:left="0" w:right="0"/>
              <w:jc w:val="center"/>
              <w:rPr>
                <w:rFonts w:ascii="bookman old style" w:hAnsi="bookman old style"/>
                <w:sz w:val="16"/>
                <w:szCs w:val="16"/>
              </w:rPr>
            </w:pPr>
            <w:r>
              <w:rPr>
                <w:rFonts w:ascii="bookman old style" w:hAnsi="bookman old style"/>
                <w:b/>
                <w:sz w:val="16"/>
                <w:szCs w:val="16"/>
                <w:shd w:fill="auto" w:val="clear"/>
              </w:rPr>
              <w:t>Link</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32616089274;</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05.06.2026;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22.06.2026 13:00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35983645.58</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School construction in Novosibirsk, Novosibirsk Oblast, AROSHO company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zakupki.gov.ru/epz/order/extendedsearch/results.html?searchString=32616089274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0311200024926000217; 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29.06.2026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18780208.33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in Tatarstan Republic</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zakupki.gov.ru/epz/order/extendedsearch/results.html?searchString=0311200024926000217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0173200001426001111; 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29.06.2026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25528517.00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Transport interchange reconstruction in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zakupki.gov.ru/epz/order/extendedsearch/results.html?searchString=0173200001426001111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32616107657;</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29.06.2026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14120601.32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Technical college building construction in Perm Krai</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zakupki.gov.ru/epz/order/extendedsearch/results.html?searchString=32616107657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32616108347;</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30.06.2026 08:00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743250428.61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Territorial development for Moscow housing renovation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zakupki.gov.ru/epz/order/extendedsearch/results.html?searchString=32616108347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0865200000326000766; 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16445517.24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maintenance in Tomsk Oblast districts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zakupki.gov.ru/epz/order/extendedsearch/results.html?searchString=0865200000326000766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32616107394;</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24.06.2026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13671150.54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Sewer network reconstruction for Samara utilities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zakupki.gov.ru/epz/order/extendedsearch/results.html?searchString=32616107394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0187200001726000725; 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18450661.26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on Surgut-Nizhnevartovsk route, Khanty-Mansi Autonomous Okrug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zakupki.gov.ru/epz/order/extendedsearch/results.html?searchString=0187200001726000725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32616107784;</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29.06.2026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50368688.75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Telemechanics modernization for Rosseti Far East operations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zakupki.gov.ru/epz/order/extendedsearch/results.html?searchString=32616107784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0548200001526000021; 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62748181.07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Sewer pipeline construction in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zakupki.gov.ru/epz/order/extendedsearch/results.html?searchString=0548200001526000021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0172200002526000328; Announced on: 04.06.2026;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23.06.2026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59697090.73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New bus depot project in Saint Petersburg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zakupki.gov.ru/epz/order/extendedsearch/results.html?searchString=0172200002526000328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32616105777;</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09:00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15625000.00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for Ekaterinburg electric grid company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zakupki.gov.ru/epz/order/extendedsearch/results.html?searchString=32616105777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0173200001426001104; Announced on: 11.06.2026;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29.06.2026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78192563.53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Capital repair of Moscow maternity center and canteen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zakupki.gov.ru/epz/order/extendedsearch/results.html?searchString=0173200001426001104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32616104906;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 15:00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Transportation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23392787.33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Transport and customs services for wind turbine production materials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zakupki.gov.ru/epz/order/extendedsearch/results.html?searchString=32616104906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0148200005426000255; Announced on: 04.06.2026;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23.06.2026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28370910.47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completion in Leninsky District, Moscow Oblast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zakupki.gov.ru/epz/order/extendedsearch/results.html?searchString=0148200005426000255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32616101674;</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 16:00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21182000.43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Boiler ash collector modernization in Baikal Energy Company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zakupki.gov.ru/epz/order/extendedsearch/results.html?searchString=32616101674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0865200000326000767; 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16664427.76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maintenance in Tomsk Oblast districts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zakupki.gov.ru/epz/order/extendedsearch/results.html?searchString=0865200000326000767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0173100009526000061; 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14125000.00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Research and development for electron-beam lithography materials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zakupki.gov.ru/epz/order/extendedsearch/results.html?searchString=0173100009526000061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0165200003326000184; Announced on: 05.06.2026;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23.06.2026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13828985.62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Polyclinic construction in Tomsk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zakupki.gov.ru/epz/order/extendedsearch/results.html?searchString=0165200003326000184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0888500000226000353; Announced on: 10.06.2026;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14008333.33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Capital repair of child rehabilitation center in Chukotka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zakupki.gov.ru/epz/order/extendedsearch/results.html?searchString=0888500000226000353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0148200005426000263; 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29430877.99</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completion and reconstruction in Moscow Oblast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zakupki.gov.ru/epz/order/extendedsearch/results.html?searchString=0148200005426000263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0832200006626000440; Announced on: 08.06.2026;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08.07.2026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14129758.75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in Nizhny Novgorod Oblast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zakupki.gov.ru/epz/order/extendedsearch/results.html?searchString=0832200006626000440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32616099131;</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17.06.2026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45647760.26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Power line reconstruction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zakupki.gov.ru/epz/order/extendedsearch/results.html?searchString=32616099131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32616099124;</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17.06.2026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29224382.01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Power line reconstruction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zakupki.gov.ru/epz/order/extendedsearch/results.html?searchString=32616099124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0832200006626000443; 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08.07.2026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16608471.94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in Nizhny Novgorod Oblast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zakupki.gov.ru/epz/order/extendedsearch/results.html?searchString=0832200006626000443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0818500000826003871; 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26.06.2026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13247347.92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maintenance in Sochi, Krasnodar Krai</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zakupki.gov.ru/epz/order/extendedsearch/results.html?searchString=0818500000826003871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0865200000326000755; 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15519273.73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maintenance in Tomsk Oblast districts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zakupki.gov.ru/epz/order/extendedsearch/results.html?searchString=0865200000326000755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0162300005326001159; 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25.06.2026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16117402.77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Akademika Parina Street construction in Yekaterinburg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zakupki.gov.ru/epz/order/extendedsearch/results.html?searchString=0162300005326001159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32616096504;</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09.06.2026;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25.06.2026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25362278.61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Intermunicipal landfill construction in Tatarstan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zakupki.gov.ru/epz/order/extendedsearch/results.html?searchString=32616096504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32616070107;</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01.06.2026;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17.06.2026 09:00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Transportation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13779475.99</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Fiber-optic cable supply for Sakha Republic settlements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zakupki.gov.ru/epz/order/extendedsearch/results.html?searchString=32616070107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32616094653;</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Announced on: 08.06.2026;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24.06.2026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19260805.42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Property maintenance services for Rosseti company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zakupki.gov.ru/epz/order/extendedsearch/results.html?searchString=32616094653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0818500000826003837; Announced on: 08.06.2026;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25.06.2026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15704463.25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maintenance in Krasnodar Krai districts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zakupki.gov.ru/epz/order/extendedsearch/results.html?searchString=0818500000826003837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0891200000626006523; Announced on: 08.06.2026;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25.06.2026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20814719.75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Engineering infrastructure for university campus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zakupki.gov.ru/epz/order/extendedsearch/results.html?searchString=0891200000626006523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0869200000226004966; Announced on: 08.06.2026;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24.06.2026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13195255.49</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maintenance in Chelyabinsk Oblast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zakupki.gov.ru/epz/order/extendedsearch/results.html?searchString=0869200000226004966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0190600005226000359; Announced on: 05.06.2026;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22.06.2026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17164722.22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Mobile power station building for Aksarka, Priuralsky District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zakupki.gov.ru/epz/order/extendedsearch/results.html?searchString=0190600005226000359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32616155996;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16:00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135606187.36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works on Messoyakha–Norilsk pipeline sections, NorilskTransGaz.</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zakupki.gov.ru/epz/order/extendedsearch/results.html?searchString=32616155996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32616128546;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 18:00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Transportation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50957841.46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Sea shipment and coal supply for Magadan TPP, Magadanenergo.</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zakupki.gov.ru/epz/order/extendedsearch/results.html?searchString=32616128546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32616112368; Announced on: 15.06.2026;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17.07.2026 16:00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39158161.41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works on Messoyakha–Norilsk pipeline, NorilskTransGaz.</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zakupki.gov.ru/epz/order/extendedsearch/results.html?searchString=32616112368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0351100008926000064;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22942397.44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on R-255 Sibir in Kemerovo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zakupki.gov.ru/epz/order/extendedsearch/results.html?searchString=0351100008926000064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32616155595;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106605498.79</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reclamation works for Martovskaya wind farm, Semnadtsatyy Vetropark FRV.</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zakupki.gov.ru/epz/order/extendedsearch/results.html?searchString=32616155595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0337100017726000093;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55155636.06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infrastructure modernization for AIS Nalog-3, Nalog-Service.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32616115459; Announced on: 16.06.2026;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17:00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20306855.66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Purchase of residential buildings for Far East Generating Company, RusHydro Supply.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zakupki.gov.ru/epz/order/extendedsearch/results.html?searchString=32616115459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0337100017726000096;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14.07.2026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19335400.84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Nalog-Service, Gorodets.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0337100017726000100;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30545681.64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FNS certification center hardware and software modernization, Nalog-Service.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zakupki.gov.ru/epz/order/extendedsearch/results.html?searchString=0337100017726000100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0337100017726000091;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83110510.43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for AIS Nalog-3, Nalog-Service.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0337100017726000090;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71750993.58</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for AIS Nalog-3, Nalog-Service.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32616164762;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 10:00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49480031.15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Premises repair works for Moscow State Expertise,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zakupki.gov.ru/epz/order/extendedsearch/results.html?searchString=32616164762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0130200002426000087;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49617158.76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Vologda airport reconstruction with runway extension.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zakupki.gov.ru/epz/order/extendedsearch/results.html?searchString=0130200002426000087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0337100017726000098;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42286380.03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for AIS Nalog-3, Nalog-Service, Dubna and Gorodets.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0337100017726000088;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68933923.63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infrastructure modernization for FNS application software segment, Dubna.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zakupki.gov.ru/epz/order/extendedsearch/results.html?searchString=0337100017726000088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0337100017726000095;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14.07.2026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24234127.70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works for FNS software segment, Dubna.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0337100017726000094;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14.07.2026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50762728.20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Hardware modernization for AIS Nalog-3, Dubna.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0337100017726000092;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44216776.12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for Nalog-Service data centers, Dubna and Gorodets.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32616118948; Announced on: 16.06.2026;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 10:00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21243679.26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Waste sorting complex construction, MSK-K.</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zakupki.gov.ru/epz/order/extendedsearch/results.html?searchString=32616118948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32616120881; Announced on: 17.06.2026;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 08:30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183579084.15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Residential building construction with underground parking,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zakupki.gov.ru/epz/order/extendedsearch/results.html?searchString=32616120881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32616123153; Announced on: 17.06.2026;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17.07.2026 08:30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93468732.04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Residential building completion works,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zakupki.gov.ru/epz/order/extendedsearch/results.html?searchString=32616123153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32616120566; Announced on: 17.06.2026;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17.07.2026 08:20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75226835.09</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Residential building completion works with civil defense shelter,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zakupki.gov.ru/epz/order/extendedsearch/results.html?searchString=32616120566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32616120342; Announced on: 17.06.2026;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 08:10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57543310.76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Residential building construction with civil defense shelter,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zakupki.gov.ru/epz/order/extendedsearch/results.html?searchString=32616120342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32616163944;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 16:00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93269230.77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Letter of credit facility agreement for Rosseti Siberia.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zakupki.gov.ru/epz/order/extendedsearch/results.html?searchString=32616163944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0873400003926000463;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22.07.2026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medicines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20250122.45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Ataluren 250 mg for a child’s treatment.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zakupki.gov.ru/epz/order/extendedsearch/results.html?searchString=0873400003926000463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0172200002526000402;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17083708.11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Preschool building construction, St. Petersburg.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zakupki.gov.ru/epz/order/extendedsearch/results.html?searchString=0172200002526000402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0873400003926000484;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22.07.2026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medicines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14321333.23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Ataluren 250 mg for a child’s treatment.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zakupki.gov.ru/epz/order/extendedsearch/results.html?searchString=0873400003926000484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0995400000226000019;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36699189.01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Reconstruction and equipment supply for Krasnoyarsk Circus.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zakupki.gov.ru/epz/order/extendedsearch/results.html?searchString=0995400000226000019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0373100114926000029;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21103081.66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Restoration and adaptation of heritage buildings, GITIS.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zakupki.gov.ru/epz/order/extendedsearch/results.html?searchString=0373100114926000029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0311100007226000047;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16435910.00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surface layers on M-5 Ural near Saransk, Mordovia.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zakupki.gov.ru/epz/order/extendedsearch/results.html?searchString=0311100007226000047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0136500001126003989;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18786080.10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Regional road repair on Sergiev Posad–Kalyazin–Rybinsk–Cherepovets route.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zakupki.gov.ru/epz/order/extendedsearch/results.html?searchString=0136500001126003989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32616164747;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17.07.2026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60738651.26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Reconstruction of wastewater treatment facilities, Vodokanal St. Petersburg.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zakupki.gov.ru/epz/order/extendedsearch/results.html?searchString=32616164747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32616164340;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 08:10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45970434.13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Residential building completion works with shelter,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zakupki.gov.ru/epz/order/extendedsearch/results.html?searchString=32616164340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0173100007726000121;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22455898.02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Restoration works for Kurszal Ensemble, Kislovodsk.</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zakupki.gov.ru/epz/order/extendedsearch/results.html?searchString=0173100007726000121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0187200001726000787;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16300030.96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on Urenгой–Nadym–Sovetskiy road, Khanty-Mansi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zakupki.gov.ru/epz/order/extendedsearch/results.html?searchString=0187200001726000787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32616163863;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09.07.2026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24663223.97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Inspection works for GTE-160 at Novgorod TPP, TGC-2.</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zakupki.gov.ru/epz/order/extendedsearch/results.html?searchString=32616163863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0860400000326000042; Announced on: 30.06.2026;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27818470.57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protection layers on R-229 road, Volgograd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zakupki.gov.ru/epz/order/extendedsearch/results.html?searchString=0860400000326000042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0873400003926000455; Announced on: 16.06.2026;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08.07.2026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medicines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16074221.46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factor VIII and von Willebrand factor medicine.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zakupki.gov.ru/epz/order/extendedsearch/results.html?searchString=0873400003926000455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0173200001426001135; Announced on: 17.06.2026;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09.07.2026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18342891.03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Lighting upgrade for Moscow road tunnels, Gormost.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zakupki.gov.ru/epz/order/extendedsearch/results.html?searchString=0173200001426001135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32616159879;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 14:00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20512820.51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High-voltage bushings supply for Rosseti branches, Rosseti Electrosetservice.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zakupki.gov.ru/epz/order/extendedsearch/results.html?searchString=32616159879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0373100089326000053;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68488616.67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Reconstruction of Krasnodar reservoir, Krasnodar Krai and Adygea.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zakupki.gov.ru/epz/order/extendedsearch/results.html?searchString=0373100089326000053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0310200000326002455;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28286518.14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Reconstruction of water supply system in Vladikavkaz, stage one.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zakupki.gov.ru/epz/order/extendedsearch/results.html?searchString=0310200000326002455</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0832200006626000512;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05.08.2026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14494990.90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Repair of regional roads in Kovernino district, Nizhny Novgorod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zakupki.gov.ru/epz/order/extendedsearch/results.html?searchString=0832200006626000512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0311100007226000033; Announced on: 22.06.2026;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174518742.62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Major repair of R-158 road in Nizhny Novgorod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zakupki.gov.ru/epz/order/extendedsearch/results.html?searchString=0311100007226000033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32616158028;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fuel</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74732969.51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Diesel fuel supply for Mostransavto branches, lot 2.</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zakupki.gov.ru/epz/order/extendedsearch/results.html?searchString=32616158028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32616158024;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fuel</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72376860.43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Diesel fuel supply for Mostransavto branches, lot 1.</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zakupki.gov.ru/epz/order/extendedsearch/results.html?searchString=32616158024</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0190300010826000448;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133273776.36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Reconstruction of wastewater treatment facilities in Novy Urengoy.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zakupki.gov.ru/epz/order/extendedsearch/results.html?searchString=0190300010826000448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0128200000126003899; Announced on: 29.06.2026;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23217754.14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services, Vladimir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zakupki.gov.ru/epz/order/extendedsearch/results.html?searchString=0128200000126003899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0172200002526000387;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25525503.72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Dormitory construction for sports school athletes, St. Petersburg.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zakupki.gov.ru/epz/order/extendedsearch/results.html?searchString=0172200002526000387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32616141408;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07.07.2026 14:00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228142496.47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Combined-cycle power plant construction, Tatenergo, Naberezhnye Chelny.</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zakupki.gov.ru/epz/order/extendedsearch/results.html?searchString=32616141408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0130200002426000088; Announced on: 22.06.2026;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08.07.2026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26138124.72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Western access road construction, Vologda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zakupki.gov.ru/epz/order/extendedsearch/results.html?searchString=0130200002426000088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0172200002526000386;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21708282.92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Data transmission telecommunications services for monitoring devices, St. Petersburg.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zakupki.gov.ru/epz/order/extendedsearch/results.html?searchString=0172200002526000386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0337100017726000102;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24395520.57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modernization for FGIS ZAGS, Nalog-Service, Gorkets and Dubna.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zakupki.gov.ru/epz/order/extendedsearch/results.html?searchString=0337100017726000102</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0187200001726000766; Announced on: 26.06.2026;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14.07.2026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15153040.36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on Kogalym–Pokachi road, Khanty-Mansi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zakupki.gov.ru/epz/order/extendedsearch/results.html?searchString=0187200001726000766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0160300002726000020;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27.07.2026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19230769.23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Transport interchange reconstruction in Saratov, stage two.</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zakupki.gov.ru/epz/order/extendedsearch/results.html?searchString=0160300002726000020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0337100017726000097;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21.07.2026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32999794.67</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IT infrastructure modernization for FGIS ERN, Dubna and Gorodets.</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zakupki.gov.ru/epz/order/extendedsearch/results.html?searchString=0337100017726000097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32616150583;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136217948.72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zakupki.gov.ru/epz/order/extendedsearch/results.html?searchString=32616150583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32616150581;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136217948.72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zakupki.gov.ru/epz/order/extendedsearch/results.html?searchString=32616150581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32616150573;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136217948.72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zakupki.gov.ru/epz/order/extendedsearch/results.html?searchString=32616150573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32616150571;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19230769.23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Independent guarantees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zakupki.gov.ru/epz/order/extendedsearch/results.html?searchString=32616150571</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32616150567;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19230769.23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Independent guarantees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zakupki.gov.ru/epz/order/extendedsearch/results.html?searchString=32616150567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32616150563;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19230769.23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Independent guarantees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zakupki.gov.ru/epz/order/extendedsearch/results.html?searchString=32616150563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32616150558;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13.07.2026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19230769.23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Independent guarantees for Rosseti Moscow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zakupki.gov.ru/epz/order/extendedsearch/results.html?searchString=32616150558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0826500000926002160;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16.07.2026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21057080.62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services, Belgorod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zakupki.gov.ru/epz/order/extendedsearch/results.html?searchString=0826500000926002160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32616143093;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 08:00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36033402.81</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Residential building completion works, Moscow.</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zakupki.gov.ru/epz/order/extendedsearch/results.html?searchString=32616143093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0119200000126011526; Announced on: 25.06.2026;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15.07.2026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16177224.33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traffic control information services, Krasnoyarsk Krai.</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zakupki.gov.ru/epz/order/extendedsearch/results.html?searchString=0119200000126011526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0132600032726000488;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16619668.23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Leasing services for 122 road machines, Nizhny Novgorod.</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zakupki.gov.ru/epz/order/extendedsearch/results.html?searchString=0132600032726000488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0173200001426001180;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Other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23662966.75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Computing equipment and storage systems for Moscow data center.</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zakupki.gov.ru/epz/order/extendedsearch/results.html?searchString=0173200001426001180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32616143163;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 11:00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fuel</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19072075.83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Coal supply for housing and utilities enterprise, Yakutia.</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zakupki.gov.ru/epz/order/extendedsearch/results.html?searchString=32616143163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0139200000126008063;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17611478.82</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Credit resources for Kemerovo region debt repayment.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zakupki.gov.ru/epz/order/extendedsearch/results.html?searchString=0139200000126008063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0139200000126008073;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14819415.10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Credit resources for Kemerovo region debt repayment.</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zakupki.gov.ru/epz/order/extendedsearch/results.html?searchString=0139200000126008073</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0319100017726000026; Announced on: 24.06.2026;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10.07.2026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34150824.25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of prison building, Minusinsk, Krasnoyarsk Krai.</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zakupki.gov.ru/epz/order/extendedsearch/results.html?searchString=0319100017726000026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32616138300;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09.07.2026 18:00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Supply of fuel</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14592016.46</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Coal acquisition and delivery for Iultinskoye utility enterprise.</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zakupki.gov.ru/epz/order/extendedsearch/results.html?searchString=32616138300</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0120200004726000017; Announced on: 23.06.2026;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09.07.2026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36270717.03</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School construction in Ussuriysk, Primorsky Krai.</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zakupki.gov.ru/epz/order/extendedsearch/results.html?searchString=0120200004726000017</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0322100024526000036; Announced on: 22.06.2026;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08.07.2026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16181025.64</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surface layers on R-297 Amur road, Amur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zakupki.gov.ru/epz/order/extendedsearch/results.html?searchString=0322100024526000036</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32616132228;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06.07.2026 12:00</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Non-GP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Financial services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16153846.15</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Revolving credit line for Teploset Saint Petersburg.</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zakupki.gov.ru/epz/order/extendedsearch/results.html?searchString=32616132228</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0348100042426000029;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09.07.2026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17040515.00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on A-122 in Novgorod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zakupki.gov.ru/epz/order/extendedsearch/results.html?searchString=0348100042426000029</w:t>
            </w:r>
          </w:p>
        </w:tc>
      </w:tr>
      <w:tr>
        <w:trPr/>
        <w:tc>
          <w:tcPr>
            <w:tcW w:w="460" w:type="dxa"/>
            <w:tcBorders>
              <w:left w:val="single" w:sz="2" w:space="0" w:color="000000"/>
              <w:bottom w:val="single" w:sz="2" w:space="0" w:color="000000"/>
            </w:tcBorders>
          </w:tcPr>
          <w:p>
            <w:pPr>
              <w:pStyle w:val="Normal"/>
              <w:numPr>
                <w:ilvl w:val="0"/>
                <w:numId w:val="5"/>
              </w:numPr>
              <w:tabs>
                <w:tab w:val="clear" w:pos="720"/>
              </w:tabs>
              <w:spacing w:lineRule="auto" w:line="240" w:before="0" w:after="0"/>
              <w:ind w:hanging="0" w:left="0"/>
              <w:jc w:val="center"/>
              <w:rPr>
                <w:rFonts w:ascii="bookman old style" w:hAnsi="bookman old style"/>
                <w:sz w:val="16"/>
                <w:szCs w:val="16"/>
              </w:rPr>
            </w:pPr>
            <w:r>
              <w:rPr>
                <w:rFonts w:ascii="bookman old style" w:hAnsi="bookman old style"/>
                <w:sz w:val="16"/>
                <w:szCs w:val="16"/>
              </w:rPr>
            </w:r>
          </w:p>
        </w:tc>
        <w:tc>
          <w:tcPr>
            <w:tcW w:w="2111" w:type="dxa"/>
            <w:tcBorders>
              <w:left w:val="single" w:sz="2" w:space="0" w:color="000000"/>
              <w:bottom w:val="single" w:sz="2" w:space="0" w:color="000000"/>
            </w:tcBorders>
          </w:tcPr>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Procurement No: 0348100042426000028; Announced on: 19.06.2026;</w:t>
            </w:r>
          </w:p>
          <w:p>
            <w:pPr>
              <w:pStyle w:val="Normal"/>
              <w:tabs>
                <w:tab w:val="clear" w:pos="720"/>
              </w:tabs>
              <w:spacing w:lineRule="auto" w:line="240" w:before="0" w:after="0"/>
              <w:jc w:val="left"/>
              <w:rPr>
                <w:rFonts w:ascii="bookman old style" w:hAnsi="bookman old style"/>
                <w:sz w:val="16"/>
                <w:szCs w:val="16"/>
              </w:rPr>
            </w:pPr>
            <w:r>
              <w:rPr>
                <w:rFonts w:ascii="bookman old style" w:hAnsi="bookman old style"/>
                <w:sz w:val="16"/>
                <w:szCs w:val="16"/>
              </w:rPr>
              <w:t>Bids accepted till: 09.07.2026</w:t>
            </w:r>
          </w:p>
        </w:tc>
        <w:tc>
          <w:tcPr>
            <w:tcW w:w="1265"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GP</w:t>
            </w:r>
          </w:p>
        </w:tc>
        <w:tc>
          <w:tcPr>
            <w:tcW w:w="1082"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Construction and repairs</w:t>
            </w:r>
          </w:p>
        </w:tc>
        <w:tc>
          <w:tcPr>
            <w:tcW w:w="1249" w:type="dxa"/>
            <w:tcBorders>
              <w:left w:val="single" w:sz="2" w:space="0" w:color="000000"/>
              <w:bottom w:val="single" w:sz="2" w:space="0" w:color="000000"/>
            </w:tcBorders>
          </w:tcPr>
          <w:p>
            <w:pPr>
              <w:pStyle w:val="Normal"/>
              <w:tabs>
                <w:tab w:val="clear" w:pos="720"/>
              </w:tabs>
              <w:spacing w:lineRule="auto" w:line="240" w:before="0" w:after="0"/>
              <w:jc w:val="right"/>
              <w:rPr>
                <w:rFonts w:ascii="bookman old style" w:hAnsi="bookman old style"/>
                <w:sz w:val="16"/>
                <w:szCs w:val="16"/>
              </w:rPr>
            </w:pPr>
            <w:r>
              <w:rPr>
                <w:rFonts w:ascii="bookman old style" w:hAnsi="bookman old style"/>
                <w:sz w:val="16"/>
                <w:szCs w:val="16"/>
              </w:rPr>
              <w:t>18231039.40</w:t>
            </w:r>
          </w:p>
        </w:tc>
        <w:tc>
          <w:tcPr>
            <w:tcW w:w="1901" w:type="dxa"/>
            <w:tcBorders>
              <w:left w:val="single" w:sz="2" w:space="0" w:color="000000"/>
              <w:bottom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Road repair on A-122 in Novgorod region.</w:t>
            </w:r>
          </w:p>
        </w:tc>
        <w:tc>
          <w:tcPr>
            <w:tcW w:w="2100" w:type="dxa"/>
            <w:tcBorders>
              <w:left w:val="single" w:sz="2" w:space="0" w:color="000000"/>
              <w:bottom w:val="single" w:sz="2" w:space="0" w:color="000000"/>
              <w:right w:val="single" w:sz="2" w:space="0" w:color="000000"/>
            </w:tcBorders>
          </w:tcPr>
          <w:p>
            <w:pPr>
              <w:pStyle w:val="Normal"/>
              <w:tabs>
                <w:tab w:val="clear" w:pos="720"/>
              </w:tabs>
              <w:spacing w:lineRule="auto" w:line="240" w:before="0" w:after="0"/>
              <w:jc w:val="center"/>
              <w:rPr>
                <w:rFonts w:ascii="bookman old style" w:hAnsi="bookman old style"/>
                <w:sz w:val="16"/>
                <w:szCs w:val="16"/>
              </w:rPr>
            </w:pPr>
            <w:r>
              <w:rPr>
                <w:rFonts w:ascii="bookman old style" w:hAnsi="bookman old style"/>
                <w:sz w:val="16"/>
                <w:szCs w:val="16"/>
              </w:rPr>
              <w:t>zakupki.gov.ru/epz/order/extendedsearch/results.html?searchString=0348100042426000028</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pPr>
            <w:r>
              <w:rPr>
                <w:rFonts w:eastAsia="Calibri" w:cs="Arial" w:ascii="URW Bookman" w:hAnsi="URW Bookman"/>
                <w:color w:val="000000"/>
                <w:kern w:val="0"/>
                <w:sz w:val="16"/>
                <w:szCs w:val="16"/>
                <w:shd w:fill="auto" w:val="clear"/>
                <w:lang w:val="en-US" w:eastAsia="en-US" w:bidi="ar-SA"/>
              </w:rPr>
              <w:t xml:space="preserve">Russian web-portal of tenders </w:t>
            </w:r>
            <w:hyperlink r:id="rId3">
              <w:r>
                <w:rPr>
                  <w:rStyle w:val="Hyperlink"/>
                  <w:rFonts w:eastAsia="Calibri" w:cs="Arial" w:ascii="URW Bookman" w:hAnsi="URW Bookman"/>
                  <w:color w:val="000000"/>
                  <w:kern w:val="0"/>
                  <w:sz w:val="16"/>
                  <w:szCs w:val="16"/>
                  <w:shd w:fill="auto" w:val="clear"/>
                  <w:lang w:val="en-US" w:eastAsia="en-US" w:bidi="ar-SA"/>
                </w:rPr>
                <w:t>zakupki.gov.ru</w:t>
              </w:r>
            </w:hyperlink>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spacing w:lineRule="auto" w:line="240" w:before="0" w:after="0"/>
        <w:ind w:hanging="0" w:left="0" w:right="0"/>
        <w:rPr>
          <w:highlight w:val="none"/>
          <w:shd w:fill="auto" w:val="clear"/>
        </w:rPr>
      </w:pPr>
      <w:r>
        <w:rPr>
          <w:rFonts w:cs="Arial" w:ascii="URW Bookman" w:hAnsi="URW Bookman"/>
          <w:b/>
          <w:color w:val="000000"/>
          <w:sz w:val="16"/>
          <w:szCs w:val="16"/>
          <w:shd w:fill="auto" w:val="clear"/>
          <w:lang w:val="en-IN"/>
        </w:rPr>
        <w:t xml:space="preserve">e. </w:t>
        <w:tab/>
      </w:r>
      <w:r>
        <w:rPr>
          <w:rFonts w:cs="Arial" w:ascii="URW Bookman" w:hAnsi="URW Bookman"/>
          <w:b/>
          <w:bCs/>
          <w:color w:val="000000"/>
          <w:sz w:val="16"/>
          <w:szCs w:val="16"/>
          <w:shd w:fill="auto" w:val="clear"/>
          <w:lang w:val="en-IN"/>
        </w:rPr>
        <w:t>Any press coverage/notification on new / Technology/ IPR Regulations:</w:t>
      </w:r>
    </w:p>
    <w:p>
      <w:pPr>
        <w:pStyle w:val="Normal"/>
        <w:spacing w:lineRule="auto" w:line="240" w:before="0" w:after="0"/>
        <w:ind w:hanging="0" w:left="0" w:right="0"/>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Normal"/>
        <w:spacing w:lineRule="auto" w:line="240" w:before="0" w:after="0"/>
        <w:ind w:hanging="0" w:left="0" w:right="0"/>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BodyText"/>
        <w:spacing w:lineRule="auto" w:line="240" w:before="0" w:after="0"/>
        <w:ind w:hanging="0" w:left="0" w:right="0"/>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tbl>
      <w:tblPr>
        <w:tblW w:w="10200" w:type="dxa"/>
        <w:jc w:val="left"/>
        <w:tblInd w:w="55" w:type="dxa"/>
        <w:tblLayout w:type="fixed"/>
        <w:tblCellMar>
          <w:top w:w="55" w:type="dxa"/>
          <w:left w:w="55" w:type="dxa"/>
          <w:bottom w:w="55" w:type="dxa"/>
          <w:right w:w="55" w:type="dxa"/>
        </w:tblCellMar>
      </w:tblPr>
      <w:tblGrid>
        <w:gridCol w:w="495"/>
        <w:gridCol w:w="1170"/>
        <w:gridCol w:w="3060"/>
        <w:gridCol w:w="3608"/>
        <w:gridCol w:w="1867"/>
      </w:tblGrid>
      <w:tr>
        <w:trPr>
          <w:tblHeader w:val="true"/>
        </w:trPr>
        <w:tc>
          <w:tcPr>
            <w:tcW w:w="49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S. No.</w:t>
            </w:r>
          </w:p>
        </w:tc>
        <w:tc>
          <w:tcPr>
            <w:tcW w:w="11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Sector</w:t>
            </w:r>
          </w:p>
        </w:tc>
        <w:tc>
          <w:tcPr>
            <w:tcW w:w="306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Details</w:t>
            </w:r>
          </w:p>
        </w:tc>
        <w:tc>
          <w:tcPr>
            <w:tcW w:w="3608"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Remarks</w:t>
            </w:r>
          </w:p>
        </w:tc>
        <w:tc>
          <w:tcPr>
            <w:tcW w:w="18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lang w:val="en-IN"/>
              </w:rPr>
              <w:t>Upload Documents</w:t>
            </w:r>
          </w:p>
        </w:tc>
      </w:tr>
      <w:tr>
        <w:trPr/>
        <w:tc>
          <w:tcPr>
            <w:tcW w:w="495"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1</w:t>
            </w:r>
          </w:p>
        </w:tc>
        <w:tc>
          <w:tcPr>
            <w:tcW w:w="1170"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pPr>
            <w:r>
              <w:rPr>
                <w:rStyle w:val="Strong"/>
                <w:rFonts w:eastAsia="Calibri" w:cs="Times New Roman"/>
                <w:b w:val="false"/>
                <w:bCs w:val="false"/>
                <w:color w:val="000000"/>
                <w:kern w:val="0"/>
                <w:sz w:val="16"/>
                <w:szCs w:val="16"/>
                <w:shd w:fill="auto" w:val="clear"/>
                <w:lang w:val="en-US" w:eastAsia="en-US" w:bidi="ar-SA"/>
              </w:rPr>
              <w:t>Medicine</w:t>
            </w:r>
          </w:p>
        </w:tc>
        <w:tc>
          <w:tcPr>
            <w:tcW w:w="3060"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Sechenov University and Motorika Company have developed an experimental implant for restoring vision in cases of retinal dysfunction.</w:t>
            </w:r>
          </w:p>
        </w:tc>
        <w:tc>
          <w:tcPr>
            <w:tcW w:w="3608"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The new implant is completely wireless (unlike many foreign analogues). It uses more ultra-thin electrodes, providing more precise and physiological stimulation. It minimizes trauma during installation.</w:t>
            </w:r>
          </w:p>
        </w:tc>
        <w:tc>
          <w:tcPr>
            <w:tcW w:w="1867" w:type="dxa"/>
            <w:tcBorders>
              <w:left w:val="single" w:sz="4" w:space="0" w:color="000000"/>
              <w:bottom w:val="single" w:sz="4" w:space="0" w:color="000000"/>
              <w:right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sechenov.ru/pressroom/news/sechenovskiy-universitet-i-motorika-vpervye-predstavili-na-pmef-2026-implantat-dlya-vosstanovleniya-/</w:t>
            </w:r>
          </w:p>
        </w:tc>
      </w:tr>
      <w:tr>
        <w:trPr/>
        <w:tc>
          <w:tcPr>
            <w:tcW w:w="495"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2</w:t>
            </w:r>
          </w:p>
        </w:tc>
        <w:tc>
          <w:tcPr>
            <w:tcW w:w="1170"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pPr>
            <w:r>
              <w:rPr>
                <w:rStyle w:val="Strong"/>
                <w:rFonts w:eastAsia="Calibri" w:cs="Times New Roman"/>
                <w:b w:val="false"/>
                <w:bCs w:val="false"/>
                <w:color w:val="000000"/>
                <w:kern w:val="0"/>
                <w:sz w:val="16"/>
                <w:szCs w:val="16"/>
                <w:shd w:fill="auto" w:val="clear"/>
                <w:lang w:val="en-US" w:eastAsia="en-US" w:bidi="ar-SA"/>
              </w:rPr>
              <w:t>Medicine</w:t>
            </w:r>
          </w:p>
        </w:tc>
        <w:tc>
          <w:tcPr>
            <w:tcW w:w="3060"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The joint team of the Institute of Higher Nervous Activity and Neurophysiology of the Russian Academy of Sciences, the Burdenko Neurosurgical Research Institute, and Moscow State University has developed new drugs for the diagnosis and treatment of brain glioma.</w:t>
            </w:r>
          </w:p>
        </w:tc>
        <w:tc>
          <w:tcPr>
            <w:tcW w:w="3608"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In diagnostics, a radiopharmaceutical based on synthetic DNA molecules (aptamers) effectively "illuminates" tumors during PET/CT imaging. In treatment, aptamers linked to antitumor molecules increase the specificity of delivery to glioma cells. A method for "reprogramming" pathogenic cells using a special "cocktail" of molecules is also being developed.</w:t>
            </w:r>
          </w:p>
        </w:tc>
        <w:tc>
          <w:tcPr>
            <w:tcW w:w="1867" w:type="dxa"/>
            <w:tcBorders>
              <w:left w:val="single" w:sz="4" w:space="0" w:color="000000"/>
              <w:bottom w:val="single" w:sz="4" w:space="0" w:color="000000"/>
              <w:right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ria.ru/20260607/zdorove-2097435952.html</w:t>
            </w:r>
          </w:p>
        </w:tc>
      </w:tr>
      <w:tr>
        <w:trPr>
          <w:trHeight w:val="2216" w:hRule="atLeast"/>
        </w:trPr>
        <w:tc>
          <w:tcPr>
            <w:tcW w:w="495"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3</w:t>
            </w:r>
          </w:p>
        </w:tc>
        <w:tc>
          <w:tcPr>
            <w:tcW w:w="1170"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b w:val="false"/>
                <w:bCs w:val="false"/>
                <w:color w:val="auto"/>
                <w:kern w:val="0"/>
                <w:sz w:val="16"/>
                <w:szCs w:val="16"/>
                <w:highlight w:val="none"/>
                <w:shd w:fill="auto" w:val="clear"/>
                <w:lang w:val="en-US" w:eastAsia="en-US" w:bidi="ar-SA"/>
              </w:rPr>
            </w:pPr>
            <w:r>
              <w:rPr>
                <w:rFonts w:eastAsia="Calibri" w:cs="Times New Roman"/>
                <w:b w:val="false"/>
                <w:bCs w:val="false"/>
                <w:color w:val="000000"/>
                <w:kern w:val="0"/>
                <w:sz w:val="16"/>
                <w:szCs w:val="16"/>
                <w:shd w:fill="auto" w:val="clear"/>
                <w:lang w:val="en-US" w:eastAsia="en-US" w:bidi="ar-SA"/>
              </w:rPr>
              <w:t>Cybersecurity</w:t>
            </w:r>
          </w:p>
        </w:tc>
        <w:tc>
          <w:tcPr>
            <w:tcW w:w="3060"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The Russian developer of cybersecurity solutions Positive Technologies presented PT Naira, an AI assistant based on large language models. It takes over the routine work of specialists and helps to analyze threats faster.</w:t>
            </w:r>
          </w:p>
        </w:tc>
        <w:tc>
          <w:tcPr>
            <w:tcW w:w="3608" w:type="dxa"/>
            <w:tcBorders>
              <w:left w:val="single" w:sz="4" w:space="0" w:color="000000"/>
              <w:bottom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The new solution accelerates incident investigations by 50–60% and reduces the time it takes to create rules for event management systems. Integrated with MaxPatrol SIEM and PT BlackBox Scanner.</w:t>
            </w:r>
          </w:p>
        </w:tc>
        <w:tc>
          <w:tcPr>
            <w:tcW w:w="1867" w:type="dxa"/>
            <w:tcBorders>
              <w:left w:val="single" w:sz="4" w:space="0" w:color="000000"/>
              <w:bottom w:val="single" w:sz="4" w:space="0" w:color="000000"/>
              <w:right w:val="single" w:sz="4" w:space="0" w:color="000000"/>
            </w:tcBorders>
          </w:tcPr>
          <w:p>
            <w:pPr>
              <w:pStyle w:val="TableContents"/>
              <w:widowControl w:val="false"/>
              <w:suppressAutoHyphens w:val="true"/>
              <w:overflowPunct w:val="true"/>
              <w:bidi w:val="0"/>
              <w:spacing w:lineRule="auto" w:line="276" w:before="0" w:after="200"/>
              <w:jc w:val="left"/>
              <w:rPr>
                <w:rFonts w:ascii="Times New Roman" w:hAnsi="Times New Roman" w:eastAsia="Calibri" w:cs="Times New Roman"/>
                <w:color w:val="auto"/>
                <w:kern w:val="0"/>
                <w:sz w:val="16"/>
                <w:szCs w:val="16"/>
                <w:highlight w:val="none"/>
                <w:shd w:fill="auto" w:val="clear"/>
                <w:lang w:val="en-US" w:eastAsia="en-US" w:bidi="ar-SA"/>
              </w:rPr>
            </w:pPr>
            <w:r>
              <w:rPr>
                <w:rFonts w:eastAsia="Calibri" w:cs="Times New Roman"/>
                <w:color w:val="000000"/>
                <w:kern w:val="0"/>
                <w:sz w:val="16"/>
                <w:szCs w:val="16"/>
                <w:shd w:fill="auto" w:val="clear"/>
                <w:lang w:val="en-US" w:eastAsia="en-US" w:bidi="ar-SA"/>
              </w:rPr>
              <w:t>vedomosti.ru/technology/news/2026/06/18/1206771-ii-pomoschnika-kiberbezopasnosti</w:t>
            </w:r>
          </w:p>
        </w:tc>
      </w:tr>
    </w:tbl>
    <w:p>
      <w:pPr>
        <w:pStyle w:val="BodyText"/>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BodyText"/>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BodyText"/>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p>
      <w:pPr>
        <w:pStyle w:val="BodyText"/>
        <w:rPr>
          <w:rFonts w:ascii="URW Bookman" w:hAnsi="URW Bookman" w:cs="Arial"/>
          <w:b/>
          <w:color w:val="000000"/>
          <w:sz w:val="16"/>
          <w:szCs w:val="16"/>
          <w:highlight w:val="none"/>
          <w:shd w:fill="auto" w:val="clear"/>
          <w:lang w:val="en-IN"/>
        </w:rPr>
      </w:pPr>
      <w:r>
        <w:rPr>
          <w:rFonts w:cs="Arial" w:ascii="URW Bookman" w:hAnsi="URW Bookman"/>
          <w:b/>
          <w:color w:val="000000"/>
          <w:sz w:val="16"/>
          <w:szCs w:val="16"/>
          <w:shd w:fill="auto" w:val="clear"/>
          <w:lang w:val="en-IN"/>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Web"/>
              <w:widowControl w:val="false"/>
              <w:shd w:val="clear" w:fill="FFFFFF"/>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fill="FFFFFF"/>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bidi="ar-SA"/>
              </w:rPr>
              <w:t>Media reports in public domain</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outlineLvl w:val="0"/>
        <w:rPr>
          <w:rFonts w:ascii="URW Bookman" w:hAnsi="URW Bookman" w:cs="Arial"/>
          <w:b/>
          <w:color w:val="000000"/>
          <w:sz w:val="16"/>
          <w:szCs w:val="16"/>
          <w:highlight w:val="none"/>
          <w:shd w:fill="auto" w:val="clear"/>
        </w:rPr>
      </w:pPr>
      <w:r>
        <w:rPr>
          <w:rFonts w:cs="Arial" w:ascii="URW Bookman" w:hAnsi="URW Bookman"/>
          <w:b/>
          <w:color w:val="000000"/>
          <w:sz w:val="16"/>
          <w:szCs w:val="16"/>
          <w:shd w:fill="auto" w:val="clear"/>
        </w:rPr>
      </w:r>
    </w:p>
    <w:p>
      <w:pPr>
        <w:pStyle w:val="Normal"/>
        <w:numPr>
          <w:ilvl w:val="0"/>
          <w:numId w:val="0"/>
        </w:numPr>
        <w:spacing w:lineRule="auto" w:line="240" w:before="0" w:after="0"/>
        <w:ind w:hanging="0" w:left="0" w:right="0"/>
        <w:outlineLvl w:val="0"/>
        <w:rPr>
          <w:highlight w:val="none"/>
          <w:shd w:fill="auto" w:val="clear"/>
        </w:rPr>
      </w:pPr>
      <w:r>
        <w:rPr>
          <w:rFonts w:cs="Arial" w:ascii="URW Bookman" w:hAnsi="URW Bookman"/>
          <w:b/>
          <w:color w:val="000000"/>
          <w:sz w:val="16"/>
          <w:szCs w:val="16"/>
          <w:shd w:fill="auto" w:val="clear"/>
        </w:rPr>
        <w:t>f.</w:t>
        <w:tab/>
      </w:r>
      <w:r>
        <w:rPr>
          <w:rFonts w:cs="Arial" w:ascii="URW Bookman" w:hAnsi="URW Bookman"/>
          <w:b/>
          <w:color w:val="000000"/>
          <w:sz w:val="16"/>
          <w:szCs w:val="16"/>
          <w:u w:val="single"/>
          <w:shd w:fill="auto" w:val="clear"/>
        </w:rPr>
        <w:t>Details of trade research, information dissemination activity of the commercial wing</w:t>
      </w:r>
    </w:p>
    <w:tbl>
      <w:tblPr>
        <w:tblW w:w="10031" w:type="dxa"/>
        <w:jc w:val="left"/>
        <w:tblInd w:w="108" w:type="dxa"/>
        <w:tblLayout w:type="fixed"/>
        <w:tblCellMar>
          <w:top w:w="0" w:type="dxa"/>
          <w:left w:w="108" w:type="dxa"/>
          <w:bottom w:w="0" w:type="dxa"/>
          <w:right w:w="108" w:type="dxa"/>
        </w:tblCellMar>
      </w:tblPr>
      <w:tblGrid>
        <w:gridCol w:w="717"/>
        <w:gridCol w:w="1719"/>
        <w:gridCol w:w="4510"/>
        <w:gridCol w:w="3085"/>
      </w:tblGrid>
      <w:tr>
        <w:trPr/>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S. No.</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Nature of activity (trade research, information dissemination, seminars/webinars etc)</w:t>
            </w:r>
          </w:p>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(Max.200 words)</w:t>
            </w:r>
          </w:p>
        </w:tc>
        <w:tc>
          <w:tcPr>
            <w:tcW w:w="45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Details of Seminar/ webinar conference (date/ venue, no of participants) or research</w:t>
            </w:r>
          </w:p>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(Max.200 words)</w:t>
            </w:r>
          </w:p>
        </w:tc>
        <w:tc>
          <w:tcPr>
            <w:tcW w:w="3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Details of trade research (title of the report, executive summary, date of publication)</w:t>
            </w:r>
          </w:p>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(Max.200 words)</w:t>
            </w:r>
          </w:p>
        </w:tc>
      </w:tr>
      <w:tr>
        <w:trPr/>
        <w:tc>
          <w:tcPr>
            <w:tcW w:w="71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r>
          </w:p>
        </w:tc>
        <w:tc>
          <w:tcPr>
            <w:tcW w:w="1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dissemination</w:t>
            </w:r>
          </w:p>
        </w:tc>
        <w:tc>
          <w:tcPr>
            <w:tcW w:w="45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List of upcoming exhibitions in Russia</w:t>
            </w:r>
          </w:p>
        </w:tc>
        <w:tc>
          <w:tcPr>
            <w:tcW w:w="30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shared with Indian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3"/>
              </w:numPr>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r>
          </w:p>
        </w:tc>
        <w:tc>
          <w:tcPr>
            <w:tcW w:w="171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dissemination</w:t>
            </w:r>
          </w:p>
        </w:tc>
        <w:tc>
          <w:tcPr>
            <w:tcW w:w="451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List of upcoming exhibitions in India</w:t>
            </w:r>
          </w:p>
        </w:tc>
        <w:tc>
          <w:tcPr>
            <w:tcW w:w="30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uploaded on the Embassy’s website</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3"/>
              </w:numPr>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r>
          </w:p>
        </w:tc>
        <w:tc>
          <w:tcPr>
            <w:tcW w:w="171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dissemination</w:t>
            </w:r>
          </w:p>
        </w:tc>
        <w:tc>
          <w:tcPr>
            <w:tcW w:w="451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62th edition of the INGF Delhi Fair (Autumn 2026),13-17 October 2026, Greater Noida</w:t>
            </w:r>
          </w:p>
        </w:tc>
        <w:tc>
          <w:tcPr>
            <w:tcW w:w="30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3"/>
              </w:numPr>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r>
          </w:p>
        </w:tc>
        <w:tc>
          <w:tcPr>
            <w:tcW w:w="171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dissemination</w:t>
            </w:r>
          </w:p>
        </w:tc>
        <w:tc>
          <w:tcPr>
            <w:tcW w:w="451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International Sourcing Exposition for Elevators and Escalators (ISEE), 3-5 December 2026, New Delhi</w:t>
            </w:r>
          </w:p>
        </w:tc>
        <w:tc>
          <w:tcPr>
            <w:tcW w:w="30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3"/>
              </w:numPr>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r>
          </w:p>
        </w:tc>
        <w:tc>
          <w:tcPr>
            <w:tcW w:w="171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dissemination</w:t>
            </w:r>
          </w:p>
        </w:tc>
        <w:tc>
          <w:tcPr>
            <w:tcW w:w="451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4th edition of Uttar Pradesh International Trade Show (UPITS), 25 - 29 September 2026, Greater Noida</w:t>
            </w:r>
          </w:p>
        </w:tc>
        <w:tc>
          <w:tcPr>
            <w:tcW w:w="30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shared with Russian stakeholders</w:t>
            </w:r>
          </w:p>
        </w:tc>
      </w:tr>
      <w:tr>
        <w:trPr/>
        <w:tc>
          <w:tcPr>
            <w:tcW w:w="717" w:type="dxa"/>
            <w:tcBorders>
              <w:left w:val="single" w:sz="4" w:space="0" w:color="000000"/>
              <w:bottom w:val="single" w:sz="4" w:space="0" w:color="000000"/>
              <w:right w:val="single" w:sz="4" w:space="0" w:color="000000"/>
            </w:tcBorders>
          </w:tcPr>
          <w:p>
            <w:pPr>
              <w:pStyle w:val="Normal"/>
              <w:widowControl w:val="false"/>
              <w:numPr>
                <w:ilvl w:val="0"/>
                <w:numId w:val="3"/>
              </w:numPr>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r>
          </w:p>
        </w:tc>
        <w:tc>
          <w:tcPr>
            <w:tcW w:w="171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dissemination</w:t>
            </w:r>
          </w:p>
        </w:tc>
        <w:tc>
          <w:tcPr>
            <w:tcW w:w="4510"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3rd edition of the Bharat Mobility Global Expo 2027, 4-9 February, 2027, New Delhi.</w:t>
            </w:r>
          </w:p>
        </w:tc>
        <w:tc>
          <w:tcPr>
            <w:tcW w:w="3085"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rPr>
                <w:rFonts w:ascii="URW Bookman" w:hAnsi="URW Bookman" w:eastAsia="Calibri" w:cs="Arial"/>
                <w:color w:val="000000"/>
                <w:kern w:val="0"/>
                <w:sz w:val="16"/>
                <w:szCs w:val="16"/>
                <w:shd w:fill="auto" w:val="clear"/>
                <w:lang w:val="en-US" w:eastAsia="en-US" w:bidi="ar-SA"/>
              </w:rPr>
            </w:pPr>
            <w:r>
              <w:rPr>
                <w:rFonts w:eastAsia="Calibri" w:cs="Arial" w:ascii="URW Bookman" w:hAnsi="URW Bookman"/>
                <w:color w:val="000000"/>
                <w:kern w:val="0"/>
                <w:sz w:val="16"/>
                <w:szCs w:val="16"/>
                <w:shd w:fill="auto" w:val="clear"/>
                <w:lang w:val="en-US" w:eastAsia="en-US" w:bidi="ar-SA"/>
              </w:rPr>
              <w:t>Information shared with Russian stakeholders</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sz w:val="16"/>
                <w:szCs w:val="16"/>
                <w:shd w:fill="auto" w:val="clear"/>
              </w:rPr>
              <w:t>Records of E&amp;C Wing, Embassy of India, Moscow</w:t>
            </w:r>
          </w:p>
        </w:tc>
      </w:tr>
    </w:tbl>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Web"/>
        <w:shd w:val="clear" w:fill="FFFFFF"/>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p>
      <w:pPr>
        <w:pStyle w:val="Normal"/>
        <w:numPr>
          <w:ilvl w:val="0"/>
          <w:numId w:val="0"/>
        </w:numPr>
        <w:spacing w:lineRule="auto" w:line="240" w:before="0" w:after="0"/>
        <w:ind w:hanging="0" w:left="0" w:right="0"/>
        <w:outlineLvl w:val="0"/>
        <w:rPr>
          <w:highlight w:val="none"/>
          <w:shd w:fill="auto" w:val="clear"/>
        </w:rPr>
      </w:pPr>
      <w:r>
        <w:rPr>
          <w:rFonts w:cs="Arial" w:ascii="URW Bookman" w:hAnsi="URW Bookman"/>
          <w:b/>
          <w:color w:val="000000"/>
          <w:sz w:val="16"/>
          <w:szCs w:val="16"/>
          <w:shd w:fill="auto" w:val="clear"/>
        </w:rPr>
        <w:t>g.</w:t>
        <w:tab/>
      </w:r>
      <w:r>
        <w:rPr>
          <w:rFonts w:cs="Arial" w:ascii="URW Bookman" w:hAnsi="URW Bookman"/>
          <w:b/>
          <w:color w:val="000000"/>
          <w:sz w:val="16"/>
          <w:szCs w:val="16"/>
          <w:u w:val="single"/>
          <w:shd w:fill="auto" w:val="clear"/>
        </w:rPr>
        <w:t>Details of activities conducted out of Trade promotion budget:</w:t>
      </w:r>
    </w:p>
    <w:tbl>
      <w:tblPr>
        <w:tblW w:w="10065" w:type="dxa"/>
        <w:jc w:val="left"/>
        <w:tblInd w:w="79" w:type="dxa"/>
        <w:tblLayout w:type="fixed"/>
        <w:tblCellMar>
          <w:top w:w="0" w:type="dxa"/>
          <w:left w:w="108" w:type="dxa"/>
          <w:bottom w:w="0" w:type="dxa"/>
          <w:right w:w="108" w:type="dxa"/>
        </w:tblCellMar>
      </w:tblPr>
      <w:tblGrid>
        <w:gridCol w:w="1956"/>
        <w:gridCol w:w="2193"/>
        <w:gridCol w:w="2432"/>
        <w:gridCol w:w="3484"/>
      </w:tblGrid>
      <w:tr>
        <w:trPr/>
        <w:tc>
          <w:tcPr>
            <w:tcW w:w="19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BE for current financial year</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RE for current financial year</w:t>
            </w:r>
          </w:p>
        </w:tc>
        <w:tc>
          <w:tcPr>
            <w:tcW w:w="24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Amount utilized</w:t>
            </w:r>
          </w:p>
        </w:tc>
        <w:tc>
          <w:tcPr>
            <w:tcW w:w="34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Details of Activity</w:t>
            </w:r>
          </w:p>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(Max.200 words)</w:t>
            </w:r>
          </w:p>
        </w:tc>
      </w:tr>
      <w:tr>
        <w:trPr/>
        <w:tc>
          <w:tcPr>
            <w:tcW w:w="195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pPr>
            <w:r>
              <w:rPr>
                <w:rFonts w:eastAsia="Calibri" w:cs="Arial" w:ascii="URW Bookman" w:hAnsi="URW Bookman"/>
                <w:color w:val="000000"/>
                <w:kern w:val="0"/>
                <w:sz w:val="16"/>
                <w:szCs w:val="16"/>
                <w:shd w:fill="auto" w:val="clear"/>
                <w:lang w:val="en-US" w:eastAsia="en-US" w:bidi="ar-SA"/>
              </w:rPr>
              <w:t>2 000 000 INR</w:t>
            </w:r>
          </w:p>
        </w:tc>
        <w:tc>
          <w:tcPr>
            <w:tcW w:w="2193"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pPr>
            <w:r>
              <w:rPr>
                <w:rFonts w:eastAsia="Calibri" w:cs="Arial" w:ascii="URW Bookman" w:hAnsi="URW Bookman"/>
                <w:color w:val="000000"/>
                <w:kern w:val="0"/>
                <w:sz w:val="16"/>
                <w:szCs w:val="16"/>
                <w:shd w:fill="auto" w:val="clear"/>
                <w:lang w:val="en-US" w:eastAsia="en-US" w:bidi="ar-SA"/>
              </w:rPr>
              <w:t>NA</w:t>
            </w:r>
          </w:p>
        </w:tc>
        <w:tc>
          <w:tcPr>
            <w:tcW w:w="2432"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rFonts w:ascii="URW Bookman" w:hAnsi="URW Bookman"/>
                <w:color w:val="000000"/>
                <w:sz w:val="16"/>
                <w:szCs w:val="16"/>
                <w:shd w:fill="auto" w:val="clear"/>
              </w:rPr>
            </w:pPr>
            <w:r>
              <w:rPr>
                <w:rFonts w:ascii="URW Bookman" w:hAnsi="URW Bookman"/>
                <w:color w:val="000000"/>
                <w:sz w:val="16"/>
                <w:szCs w:val="16"/>
                <w:shd w:fill="auto" w:val="clear"/>
              </w:rPr>
              <w:t>83069.62 INR</w:t>
            </w:r>
          </w:p>
          <w:p>
            <w:pPr>
              <w:pStyle w:val="Normal"/>
              <w:widowControl w:val="false"/>
              <w:spacing w:lineRule="auto" w:line="240" w:before="0" w:after="0"/>
              <w:ind w:hanging="0" w:left="0" w:right="0"/>
              <w:jc w:val="center"/>
              <w:rPr>
                <w:rFonts w:ascii="URW Bookman" w:hAnsi="URW Bookman"/>
                <w:color w:val="000000"/>
                <w:sz w:val="16"/>
                <w:szCs w:val="16"/>
                <w:shd w:fill="auto" w:val="clear"/>
              </w:rPr>
            </w:pPr>
            <w:r>
              <w:rPr>
                <w:rFonts w:ascii="URW Bookman" w:hAnsi="URW Bookman"/>
                <w:color w:val="000000"/>
                <w:sz w:val="16"/>
                <w:szCs w:val="16"/>
                <w:shd w:fill="auto" w:val="clear"/>
              </w:rPr>
              <w:t>(83069.62 INR in June 2026)</w:t>
            </w:r>
          </w:p>
        </w:tc>
        <w:tc>
          <w:tcPr>
            <w:tcW w:w="3484"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pPr>
            <w:r>
              <w:rPr>
                <w:rFonts w:ascii="URW Bookman" w:hAnsi="URW Bookman"/>
                <w:color w:val="000000"/>
                <w:sz w:val="16"/>
                <w:szCs w:val="16"/>
                <w:shd w:fill="auto" w:val="clear"/>
              </w:rPr>
              <w:t>0</w:t>
            </w:r>
          </w:p>
        </w:tc>
      </w:tr>
    </w:tbl>
    <w:p>
      <w:pPr>
        <w:pStyle w:val="Normal"/>
        <w:spacing w:lineRule="auto" w:line="240" w:before="0" w:after="0"/>
        <w:ind w:hanging="0" w:left="0" w:right="0"/>
        <w:rPr>
          <w:rFonts w:ascii="URW Bookman" w:hAnsi="URW Bookman"/>
          <w:color w:val="000000"/>
          <w:sz w:val="16"/>
          <w:szCs w:val="16"/>
          <w:highlight w:val="none"/>
          <w:shd w:fill="auto" w:val="clear"/>
        </w:rPr>
      </w:pPr>
      <w:r>
        <w:rPr>
          <w:rFonts w:ascii="URW Bookman" w:hAnsi="URW Bookman"/>
          <w:color w:val="000000"/>
          <w:sz w:val="16"/>
          <w:szCs w:val="16"/>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Web"/>
              <w:widowControl w:val="false"/>
              <w:shd w:val="clear" w:fill="FFFFFF"/>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fill="FFFFFF"/>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bidi="ar-SA"/>
              </w:rPr>
              <w:t>Records of E&amp;C Wing, Embassy of India, Moscow</w:t>
            </w:r>
          </w:p>
        </w:tc>
      </w:tr>
    </w:tbl>
    <w:p>
      <w:pPr>
        <w:pStyle w:val="Normal"/>
        <w:spacing w:lineRule="auto" w:line="240" w:before="0" w:after="0"/>
        <w:ind w:hanging="0" w:left="0" w:right="0"/>
        <w:rPr>
          <w:rFonts w:ascii="URW Bookman" w:hAnsi="URW Bookman" w:cs="Arial"/>
          <w:b/>
          <w:bCs/>
          <w:color w:val="000000"/>
          <w:sz w:val="16"/>
          <w:szCs w:val="16"/>
          <w:highlight w:val="none"/>
          <w:shd w:fill="auto" w:val="clear"/>
        </w:rPr>
      </w:pPr>
      <w:r>
        <w:rPr>
          <w:rFonts w:cs="Arial" w:ascii="URW Bookman" w:hAnsi="URW Bookman"/>
          <w:b/>
          <w:bCs/>
          <w:color w:val="000000"/>
          <w:sz w:val="16"/>
          <w:szCs w:val="16"/>
          <w:shd w:fill="auto" w:val="clear"/>
        </w:rPr>
      </w:r>
    </w:p>
    <w:p>
      <w:pPr>
        <w:pStyle w:val="Normal"/>
        <w:spacing w:lineRule="auto" w:line="240" w:before="0" w:after="0"/>
        <w:ind w:hanging="0" w:left="0" w:right="0"/>
        <w:rPr>
          <w:highlight w:val="none"/>
          <w:shd w:fill="auto" w:val="clear"/>
        </w:rPr>
      </w:pPr>
      <w:r>
        <w:rPr>
          <w:rFonts w:cs="Arial" w:ascii="URW Bookman" w:hAnsi="URW Bookman"/>
          <w:b/>
          <w:bCs/>
          <w:color w:val="000000"/>
          <w:sz w:val="16"/>
          <w:szCs w:val="16"/>
          <w:shd w:fill="auto" w:val="clear"/>
        </w:rPr>
        <w:t>h.</w:t>
      </w:r>
      <w:r>
        <w:rPr>
          <w:rFonts w:cs="Arial" w:ascii="URW Bookman" w:hAnsi="URW Bookman"/>
          <w:color w:val="000000"/>
          <w:sz w:val="16"/>
          <w:szCs w:val="16"/>
          <w:shd w:fill="auto" w:val="clear"/>
        </w:rPr>
        <w:tab/>
      </w:r>
      <w:r>
        <w:rPr>
          <w:rFonts w:cs="Arial" w:ascii="URW Bookman" w:hAnsi="URW Bookman"/>
          <w:b/>
          <w:color w:val="000000"/>
          <w:sz w:val="16"/>
          <w:szCs w:val="16"/>
          <w:u w:val="single"/>
          <w:shd w:fill="auto" w:val="clear"/>
        </w:rPr>
        <w:t>Action taken on Complaints from foreign/ Indian Buyer/ Supplier:</w:t>
      </w:r>
    </w:p>
    <w:tbl>
      <w:tblPr>
        <w:tblW w:w="10031" w:type="dxa"/>
        <w:jc w:val="left"/>
        <w:tblInd w:w="108" w:type="dxa"/>
        <w:tblLayout w:type="fixed"/>
        <w:tblCellMar>
          <w:top w:w="0" w:type="dxa"/>
          <w:left w:w="108" w:type="dxa"/>
          <w:bottom w:w="0" w:type="dxa"/>
          <w:right w:w="108" w:type="dxa"/>
        </w:tblCellMar>
      </w:tblPr>
      <w:tblGrid>
        <w:gridCol w:w="2160"/>
        <w:gridCol w:w="1627"/>
        <w:gridCol w:w="2075"/>
        <w:gridCol w:w="4169"/>
      </w:tblGrid>
      <w:tr>
        <w:trPr/>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No. of Trade complaints received</w:t>
            </w:r>
          </w:p>
        </w:tc>
        <w:tc>
          <w:tcPr>
            <w:tcW w:w="1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From Local companies</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From Indian Companies</w:t>
            </w:r>
          </w:p>
        </w:tc>
        <w:tc>
          <w:tcPr>
            <w:tcW w:w="41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b/>
                <w:bCs/>
                <w:color w:val="000000"/>
                <w:sz w:val="16"/>
                <w:szCs w:val="16"/>
                <w:shd w:fill="auto" w:val="clear"/>
              </w:rPr>
              <w:t>No. of complaints on which Action is Taken</w:t>
            </w:r>
          </w:p>
        </w:tc>
      </w:tr>
      <w:tr>
        <w:trPr>
          <w:trHeight w:val="1" w:hRule="atLeast"/>
        </w:trPr>
        <w:tc>
          <w:tcPr>
            <w:tcW w:w="21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color w:val="000000"/>
                <w:sz w:val="16"/>
                <w:szCs w:val="16"/>
                <w:shd w:fill="auto" w:val="clear"/>
              </w:rPr>
              <w:t>0</w:t>
            </w:r>
          </w:p>
        </w:tc>
        <w:tc>
          <w:tcPr>
            <w:tcW w:w="1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color w:val="000000"/>
                <w:sz w:val="16"/>
                <w:szCs w:val="16"/>
                <w:shd w:fill="auto" w:val="clear"/>
              </w:rPr>
              <w:t>0</w:t>
            </w:r>
          </w:p>
        </w:tc>
        <w:tc>
          <w:tcPr>
            <w:tcW w:w="2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color w:val="000000"/>
                <w:sz w:val="16"/>
                <w:szCs w:val="16"/>
                <w:shd w:fill="auto" w:val="clear"/>
              </w:rPr>
              <w:t>0</w:t>
            </w:r>
          </w:p>
        </w:tc>
        <w:tc>
          <w:tcPr>
            <w:tcW w:w="41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hanging="0" w:left="0" w:right="0"/>
              <w:jc w:val="center"/>
              <w:rPr>
                <w:highlight w:val="none"/>
                <w:shd w:fill="auto" w:val="clear"/>
              </w:rPr>
            </w:pPr>
            <w:r>
              <w:rPr>
                <w:rFonts w:cs="Arial" w:ascii="URW Bookman" w:hAnsi="URW Bookman"/>
                <w:color w:val="000000"/>
                <w:sz w:val="16"/>
                <w:szCs w:val="16"/>
                <w:shd w:fill="auto" w:val="clear"/>
              </w:rPr>
              <w:t>0</w:t>
            </w:r>
          </w:p>
        </w:tc>
      </w:tr>
    </w:tbl>
    <w:p>
      <w:pPr>
        <w:pStyle w:val="Normal"/>
        <w:spacing w:lineRule="auto" w:line="240" w:before="0" w:after="0"/>
        <w:ind w:hanging="0" w:left="0" w:right="0"/>
        <w:rPr>
          <w:rFonts w:ascii="URW Bookman" w:hAnsi="URW Bookman" w:cs="Arial"/>
          <w:color w:val="000000"/>
          <w:sz w:val="16"/>
          <w:szCs w:val="16"/>
          <w:highlight w:val="none"/>
          <w:shd w:fill="auto" w:val="clear"/>
        </w:rPr>
      </w:pPr>
      <w:r>
        <w:rPr>
          <w:rFonts w:cs="Arial" w:ascii="URW Bookman" w:hAnsi="URW Bookman"/>
          <w:color w:val="000000"/>
          <w:sz w:val="16"/>
          <w:szCs w:val="16"/>
          <w:shd w:fill="auto" w:val="clear"/>
        </w:rPr>
      </w:r>
    </w:p>
    <w:tbl>
      <w:tblPr>
        <w:tblW w:w="8820" w:type="dxa"/>
        <w:jc w:val="left"/>
        <w:tblInd w:w="1116" w:type="dxa"/>
        <w:tblLayout w:type="fixed"/>
        <w:tblCellMar>
          <w:top w:w="0" w:type="dxa"/>
          <w:left w:w="108" w:type="dxa"/>
          <w:bottom w:w="0" w:type="dxa"/>
          <w:right w:w="108" w:type="dxa"/>
        </w:tblCellMar>
      </w:tblPr>
      <w:tblGrid>
        <w:gridCol w:w="1980"/>
        <w:gridCol w:w="6840"/>
      </w:tblGrid>
      <w:tr>
        <w:trPr/>
        <w:tc>
          <w:tcPr>
            <w:tcW w:w="1980" w:type="dxa"/>
            <w:tcBorders>
              <w:right w:val="single" w:sz="4" w:space="0" w:color="000000"/>
            </w:tcBorders>
          </w:tcPr>
          <w:p>
            <w:pPr>
              <w:pStyle w:val="Normal"/>
              <w:widowControl w:val="false"/>
              <w:suppressAutoHyphens w:val="true"/>
              <w:spacing w:lineRule="auto" w:line="240" w:before="0" w:after="0"/>
              <w:ind w:hanging="0" w:left="0" w:right="0"/>
              <w:jc w:val="left"/>
              <w:rPr>
                <w:highlight w:val="none"/>
                <w:shd w:fill="auto" w:val="clear"/>
              </w:rPr>
            </w:pPr>
            <w:r>
              <w:rPr>
                <w:rFonts w:cs="Arial" w:ascii="URW Bookman" w:hAnsi="URW Bookman"/>
                <w:color w:val="000000"/>
                <w:kern w:val="0"/>
                <w:sz w:val="16"/>
                <w:szCs w:val="16"/>
                <w:shd w:fill="auto" w:val="clear"/>
                <w:lang w:eastAsia="en-US" w:bidi="ar-SA"/>
              </w:rPr>
              <w:t>Source of the data:</w:t>
            </w:r>
          </w:p>
        </w:tc>
        <w:tc>
          <w:tcPr>
            <w:tcW w:w="6840" w:type="dxa"/>
            <w:tcBorders>
              <w:top w:val="single" w:sz="4" w:space="0" w:color="000000"/>
              <w:left w:val="single" w:sz="4" w:space="0" w:color="000000"/>
              <w:bottom w:val="single" w:sz="4" w:space="0" w:color="000000"/>
              <w:right w:val="single" w:sz="4" w:space="0" w:color="000000"/>
            </w:tcBorders>
          </w:tcPr>
          <w:p>
            <w:pPr>
              <w:pStyle w:val="NormalWeb"/>
              <w:widowControl w:val="false"/>
              <w:shd w:val="clear" w:fill="FFFFFF"/>
              <w:suppressAutoHyphens w:val="true"/>
              <w:spacing w:lineRule="auto" w:line="240" w:before="0" w:after="0"/>
              <w:ind w:hanging="0" w:left="0" w:right="0"/>
              <w:jc w:val="left"/>
              <w:rPr>
                <w:highlight w:val="none"/>
                <w:shd w:fill="auto" w:val="clear"/>
              </w:rPr>
            </w:pPr>
            <w:r>
              <w:rPr>
                <w:rFonts w:eastAsia="Times New Roman" w:cs="Arial" w:ascii="URW Bookman" w:hAnsi="URW Bookman"/>
                <w:color w:val="000000"/>
                <w:kern w:val="0"/>
                <w:sz w:val="16"/>
                <w:szCs w:val="16"/>
                <w:shd w:fill="auto" w:val="clear"/>
                <w:lang w:val="en-IN" w:eastAsia="en-IN" w:bidi="ar-SA"/>
              </w:rPr>
              <w:t>Records of E&amp;C Wing, Embassy of India, Moscow</w:t>
            </w:r>
          </w:p>
        </w:tc>
      </w:tr>
    </w:tbl>
    <w:p>
      <w:pPr>
        <w:pStyle w:val="Normal"/>
        <w:spacing w:lineRule="auto" w:line="240" w:before="0" w:after="0"/>
        <w:ind w:hanging="0" w:left="0" w:right="0"/>
        <w:rPr>
          <w:highlight w:val="none"/>
          <w:shd w:fill="auto" w:val="clear"/>
        </w:rPr>
      </w:pPr>
      <w:r>
        <w:rPr>
          <w:shd w:fill="auto" w:val="clea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992" w:right="709" w:gutter="0" w:header="709" w:top="766"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OpenSymbol">
    <w:altName w:val="Arial Unicode MS"/>
    <w:charset w:val="01"/>
    <w:family w:val="roman"/>
    <w:pitch w:val="variable"/>
  </w:font>
  <w:font w:name="Liberation Mono">
    <w:altName w:val="Courier New"/>
    <w:charset w:val="01"/>
    <w:family w:val="roman"/>
    <w:pitch w:val="variable"/>
  </w:font>
  <w:font w:name="Liberation Sans">
    <w:altName w:val="Arial"/>
    <w:charset w:val="01"/>
    <w:family w:val="roman"/>
    <w:pitch w:val="variable"/>
  </w:font>
  <w:font w:name="URW Bookman">
    <w:charset w:val="01"/>
    <w:family w:val="roman"/>
    <w:pitch w:val="variable"/>
  </w:font>
  <w:font w:name="Roboto">
    <w:altName w:val="sans-serif"/>
    <w:charset w:val="01"/>
    <w:family w:val="roman"/>
    <w:pitch w:val="variable"/>
  </w:font>
  <w:font w:name="times new roman">
    <w:charset w:val="01"/>
    <w:family w:val="roman"/>
    <w:pitch w:val="variable"/>
  </w:font>
  <w:font w:name="bookman old styl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pPr>
    <w:r>
      <w:rPr/>
      <w:fldChar w:fldCharType="begin"/>
    </w:r>
    <w:r>
      <w:rPr/>
      <w:instrText xml:space="preserve"> PAGE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pPr>
    <w:r>
      <w:rPr/>
      <w:fldChar w:fldCharType="begin"/>
    </w:r>
    <w:r>
      <w:rPr/>
      <w:instrText xml:space="preserve"> PAGE </w:instrText>
    </w:r>
    <w:r>
      <w:rPr/>
      <w:fldChar w:fldCharType="separate"/>
    </w:r>
    <w:r>
      <w:rPr/>
      <w:t>10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righ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6"/>
    <w:lvlOverride w:ilvl="0">
      <w:startOverride w:val="1"/>
    </w:lvlOverride>
  </w:num>
</w:numbering>
</file>

<file path=word/settings.xml><?xml version="1.0" encoding="utf-8"?>
<w:settings xmlns:w="http://schemas.openxmlformats.org/wordprocessingml/2006/main">
  <w:zoom w:percent="18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IN"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Times New Roman" w:hAnsi="Times New Roman" w:eastAsia="Calibri" w:cs="Times New Roman"/>
      <w:color w:val="auto"/>
      <w:kern w:val="0"/>
      <w:sz w:val="24"/>
      <w:szCs w:val="22"/>
      <w:lang w:val="en-US" w:eastAsia="en-US" w:bidi="ar-SA"/>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Noto Serif CJK SC" w:cs="Lohit Devanagari"/>
      <w:b/>
      <w:bCs/>
      <w:sz w:val="36"/>
      <w:szCs w:val="36"/>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cs="Mangal"/>
      <w:b/>
      <w:bCs/>
      <w:sz w:val="28"/>
      <w:szCs w:val="28"/>
    </w:rPr>
  </w:style>
  <w:style w:type="paragraph" w:styleId="Heading4">
    <w:name w:val="heading 4"/>
    <w:basedOn w:val="Heading"/>
    <w:next w:val="BodyText"/>
    <w:qFormat/>
    <w:pPr>
      <w:numPr>
        <w:ilvl w:val="0"/>
        <w:numId w:val="0"/>
      </w:numPr>
      <w:spacing w:before="120" w:after="120"/>
      <w:outlineLvl w:val="3"/>
    </w:pPr>
    <w:rPr>
      <w:rFonts w:ascii="Liberation Serif" w:hAnsi="Liberation Serif" w:eastAsia="Segoe UI" w:cs="Tahoma"/>
      <w:b/>
      <w:bCs/>
      <w:sz w:val="24"/>
      <w:szCs w:val="24"/>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FootnoteTextChar">
    <w:name w:val="Footnote Text Char"/>
    <w:basedOn w:val="DefaultParagraphFont"/>
    <w:link w:val="FootnoteText"/>
    <w:qFormat/>
    <w:rPr>
      <w:rFonts w:ascii="Times New Roman" w:hAnsi="Times New Roman" w:eastAsia="Calibri" w:cs="Times New Roman"/>
      <w:sz w:val="20"/>
      <w:szCs w:val="20"/>
      <w:lang w:val="en-US"/>
    </w:rPr>
  </w:style>
  <w:style w:type="character" w:styleId="HeaderChar">
    <w:name w:val="Header Char"/>
    <w:basedOn w:val="DefaultParagraphFont"/>
    <w:link w:val="Header"/>
    <w:qFormat/>
    <w:rPr>
      <w:rFonts w:ascii="Times New Roman" w:hAnsi="Times New Roman" w:eastAsia="Calibri" w:cs="Times New Roman"/>
      <w:sz w:val="24"/>
      <w:lang w:val="en-US"/>
    </w:rPr>
  </w:style>
  <w:style w:type="character" w:styleId="FooterChar">
    <w:name w:val="Footer Char"/>
    <w:basedOn w:val="DefaultParagraphFont"/>
    <w:link w:val="Footer"/>
    <w:qFormat/>
    <w:rPr>
      <w:rFonts w:ascii="Times New Roman" w:hAnsi="Times New Roman" w:eastAsia="Calibri" w:cs="Times New Roman"/>
      <w:sz w:val="24"/>
      <w:lang w:val="en-US"/>
    </w:rPr>
  </w:style>
  <w:style w:type="character" w:styleId="DocumentMapChar">
    <w:name w:val="Document Map Char"/>
    <w:basedOn w:val="DefaultParagraphFont"/>
    <w:link w:val="DocumentMap"/>
    <w:qFormat/>
    <w:rPr>
      <w:rFonts w:ascii="Times New Roman" w:hAnsi="Times New Roman" w:eastAsia="Calibri" w:cs="Times New Roman"/>
      <w:sz w:val="24"/>
      <w:szCs w:val="24"/>
      <w:lang w:val="en-US"/>
    </w:rPr>
  </w:style>
  <w:style w:type="character" w:styleId="BalloonTextChar">
    <w:name w:val="Balloon Text Char"/>
    <w:basedOn w:val="DefaultParagraphFont"/>
    <w:link w:val="BalloonText"/>
    <w:qFormat/>
    <w:rPr>
      <w:rFonts w:ascii="Segoe UI" w:hAnsi="Segoe UI" w:eastAsia="Calibri" w:cs="Times New Roman"/>
      <w:sz w:val="18"/>
      <w:szCs w:val="18"/>
      <w:lang w:val="en-US"/>
    </w:rPr>
  </w:style>
  <w:style w:type="character" w:styleId="FootnoteCharactersuser">
    <w:name w:val="Footnote Characters (user)"/>
    <w:qFormat/>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CommentReference">
    <w:name w:val="annotation reference"/>
    <w:basedOn w:val="DefaultParagraphFont"/>
    <w:qFormat/>
    <w:rPr>
      <w:sz w:val="16"/>
      <w:szCs w:val="16"/>
    </w:rPr>
  </w:style>
  <w:style w:type="character" w:styleId="CommentTextChar">
    <w:name w:val="Comment Text Char"/>
    <w:basedOn w:val="DefaultParagraphFont"/>
    <w:link w:val="CommentText"/>
    <w:qFormat/>
    <w:rPr>
      <w:rFonts w:ascii="Times New Roman" w:hAnsi="Times New Roman" w:eastAsia="Calibri" w:cs="Times New Roman"/>
      <w:sz w:val="20"/>
      <w:szCs w:val="20"/>
      <w:lang w:val="en-US"/>
    </w:rPr>
  </w:style>
  <w:style w:type="character" w:styleId="CommentSubjectChar">
    <w:name w:val="Comment Subject Char"/>
    <w:basedOn w:val="CommentTextChar"/>
    <w:link w:val="annotationsubject"/>
    <w:qFormat/>
    <w:rPr>
      <w:rFonts w:ascii="Times New Roman" w:hAnsi="Times New Roman" w:eastAsia="Calibri" w:cs="Times New Roman"/>
      <w:b/>
      <w:bCs/>
      <w:sz w:val="20"/>
      <w:szCs w:val="20"/>
      <w:lang w:val="en-US"/>
    </w:rPr>
  </w:style>
  <w:style w:type="character" w:styleId="contentpasted2">
    <w:name w:val="contentpasted2"/>
    <w:basedOn w:val="DefaultParagraphFont"/>
    <w:qFormat/>
    <w:rPr/>
  </w:style>
  <w:style w:type="character" w:styleId="NumberingSymbols">
    <w:name w:val="Numbering Symbols"/>
    <w:qFormat/>
    <w:rPr/>
  </w:style>
  <w:style w:type="character" w:styleId="FollowedHyperlink">
    <w:name w:val="FollowedHyperlink"/>
    <w:rPr>
      <w:color w:val="800000"/>
      <w:u w:val="single"/>
      <w:lang w:val="zxx" w:eastAsia="zxx" w:bidi="zxx"/>
    </w:rPr>
  </w:style>
  <w:style w:type="character" w:styleId="Strong">
    <w:name w:val="Strong"/>
    <w:qFormat/>
    <w:rPr>
      <w:b/>
      <w:bCs/>
    </w:rPr>
  </w:style>
  <w:style w:type="character" w:styleId="Style10">
    <w:name w:val="Текст выноски Знак"/>
    <w:qFormat/>
    <w:rPr>
      <w:rFonts w:ascii="Segoe UI" w:hAnsi="Segoe UI" w:eastAsia="Times New Roman" w:cs="Segoe UI"/>
      <w:color w:val="000000"/>
      <w:sz w:val="18"/>
      <w:szCs w:val="18"/>
    </w:rPr>
  </w:style>
  <w:style w:type="character" w:styleId="Style11">
    <w:name w:val="Тема примечания Знак"/>
    <w:qFormat/>
    <w:rPr>
      <w:rFonts w:ascii="Times New Roman" w:hAnsi="Times New Roman" w:eastAsia="Times New Roman" w:cs="Times New Roman"/>
      <w:b/>
      <w:bCs/>
      <w:color w:val="000000"/>
      <w:sz w:val="20"/>
      <w:szCs w:val="20"/>
    </w:rPr>
  </w:style>
  <w:style w:type="character" w:styleId="Style12">
    <w:name w:val="Текст примечания Знак"/>
    <w:qFormat/>
    <w:rPr>
      <w:rFonts w:ascii="Times New Roman" w:hAnsi="Times New Roman" w:eastAsia="Times New Roman" w:cs="Times New Roman"/>
      <w:color w:val="000000"/>
      <w:sz w:val="20"/>
      <w:szCs w:val="20"/>
    </w:rPr>
  </w:style>
  <w:style w:type="character" w:styleId="2">
    <w:name w:val="Основной текст с отступом 2 Знак"/>
    <w:qFormat/>
    <w:rPr>
      <w:rFonts w:ascii="Times New Roman" w:hAnsi="Times New Roman" w:eastAsia="Times New Roman" w:cs="Times New Roman"/>
      <w:color w:val="000000"/>
      <w:sz w:val="24"/>
      <w:szCs w:val="24"/>
    </w:rPr>
  </w:style>
  <w:style w:type="character" w:styleId="21">
    <w:name w:val="Основной текст 2 Знак"/>
    <w:qFormat/>
    <w:rPr>
      <w:rFonts w:ascii="Times New Roman" w:hAnsi="Times New Roman" w:eastAsia="Times New Roman" w:cs="Times New Roman"/>
      <w:color w:val="000000"/>
      <w:sz w:val="24"/>
      <w:szCs w:val="24"/>
    </w:rPr>
  </w:style>
  <w:style w:type="character" w:styleId="3">
    <w:name w:val="Заголовок 3 Знак"/>
    <w:qFormat/>
    <w:rPr>
      <w:rFonts w:ascii="Times New Roman" w:hAnsi="Times New Roman" w:eastAsia="Times New Roman" w:cs="Times New Roman"/>
      <w:b/>
      <w:bCs/>
      <w:color w:val="000000"/>
      <w:sz w:val="27"/>
      <w:szCs w:val="27"/>
    </w:rPr>
  </w:style>
  <w:style w:type="character" w:styleId="Style13">
    <w:name w:val="Нижний колонтитул Знак"/>
    <w:qFormat/>
    <w:rPr>
      <w:rFonts w:ascii="Times New Roman" w:hAnsi="Times New Roman" w:eastAsia="Times New Roman" w:cs="Times New Roman"/>
      <w:color w:val="000000"/>
      <w:sz w:val="24"/>
      <w:szCs w:val="24"/>
    </w:rPr>
  </w:style>
  <w:style w:type="character" w:styleId="Style14">
    <w:name w:val="Верхний колонтитул Знак"/>
    <w:qFormat/>
    <w:rPr>
      <w:rFonts w:ascii="Times New Roman" w:hAnsi="Times New Roman" w:eastAsia="Times New Roman" w:cs="Times New Roman"/>
      <w:color w:val="000000"/>
      <w:sz w:val="24"/>
      <w:szCs w:val="24"/>
    </w:rPr>
  </w:style>
  <w:style w:type="character" w:styleId="Bulletsuser">
    <w:name w:val="Bullets (user)"/>
    <w:qFormat/>
    <w:rPr>
      <w:rFonts w:ascii="OpenSymbol" w:hAnsi="OpenSymbol" w:eastAsia="OpenSymbol" w:cs="OpenSymbol"/>
    </w:rPr>
  </w:style>
  <w:style w:type="character" w:styleId="Emphasis">
    <w:name w:val="Emphasis"/>
    <w:qFormat/>
    <w:rPr>
      <w:i/>
      <w:iCs/>
    </w:rPr>
  </w:style>
  <w:style w:type="character" w:styleId="SourceText">
    <w:name w:val="Source Text"/>
    <w:qFormat/>
    <w:rPr>
      <w:rFonts w:ascii="Liberation Mono" w:hAnsi="Liberation Mono" w:eastAsia="Liberation Mono" w:cs="Liberation Mono"/>
    </w:rPr>
  </w:style>
  <w:style w:type="paragraph" w:styleId="Heading">
    <w:name w:val="Heading"/>
    <w:basedOn w:val="Normal"/>
    <w:next w:val="BodyText"/>
    <w:qFormat/>
    <w:pPr>
      <w:keepNext w:val="true"/>
      <w:spacing w:before="240" w:after="120"/>
    </w:pPr>
    <w:rPr>
      <w:rFonts w:ascii="Liberation Sans" w:hAnsi="Liberation Sans" w:eastAsia="Noto Sans CJK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NormalWeb">
    <w:name w:val="Normal (Web)"/>
    <w:basedOn w:val="Normal"/>
    <w:qFormat/>
    <w:pPr>
      <w:spacing w:lineRule="auto" w:line="240" w:before="280" w:after="280"/>
    </w:pPr>
    <w:rPr>
      <w:rFonts w:eastAsia="Times New Roman"/>
      <w:szCs w:val="24"/>
      <w:lang w:val="en-IN" w:eastAsia="en-IN"/>
    </w:rPr>
  </w:style>
  <w:style w:type="paragraph" w:styleId="FootnoteText">
    <w:name w:val="footnote text"/>
    <w:basedOn w:val="Normal"/>
    <w:link w:val="FootnoteTextChar"/>
    <w:pPr/>
    <w:rPr>
      <w:sz w:val="20"/>
      <w:szCs w:val="20"/>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680" w:leader="none"/>
        <w:tab w:val="right" w:pos="9360" w:leader="none"/>
      </w:tabs>
    </w:pPr>
    <w:rPr/>
  </w:style>
  <w:style w:type="paragraph" w:styleId="Footer">
    <w:name w:val="footer"/>
    <w:basedOn w:val="Normal"/>
    <w:link w:val="FooterChar"/>
    <w:pPr>
      <w:tabs>
        <w:tab w:val="clear" w:pos="720"/>
        <w:tab w:val="center" w:pos="4680" w:leader="none"/>
        <w:tab w:val="right" w:pos="9360" w:leader="none"/>
      </w:tabs>
    </w:pPr>
    <w:rPr/>
  </w:style>
  <w:style w:type="paragraph" w:styleId="DocumentMap">
    <w:name w:val="Document Map"/>
    <w:basedOn w:val="Normal"/>
    <w:link w:val="DocumentMapChar"/>
    <w:qFormat/>
    <w:pPr/>
    <w:rPr>
      <w:szCs w:val="24"/>
    </w:rPr>
  </w:style>
  <w:style w:type="paragraph" w:styleId="BalloonText">
    <w:name w:val="Balloon Text"/>
    <w:basedOn w:val="Normal"/>
    <w:link w:val="BalloonTextChar"/>
    <w:qFormat/>
    <w:pPr>
      <w:spacing w:lineRule="auto" w:line="240" w:before="0" w:after="0"/>
    </w:pPr>
    <w:rPr>
      <w:rFonts w:ascii="Segoe UI" w:hAnsi="Segoe UI"/>
      <w:sz w:val="18"/>
      <w:szCs w:val="18"/>
    </w:rPr>
  </w:style>
  <w:style w:type="paragraph" w:styleId="ListParagraph">
    <w:name w:val="List Paragraph"/>
    <w:basedOn w:val="Normal"/>
    <w:qFormat/>
    <w:pPr>
      <w:spacing w:before="0" w:after="200"/>
      <w:ind w:hanging="0" w:left="720" w:right="0"/>
      <w:contextualSpacing/>
    </w:pPr>
    <w:rPr/>
  </w:style>
  <w:style w:type="paragraph" w:styleId="CommentText">
    <w:name w:val="annotation text"/>
    <w:basedOn w:val="Normal"/>
    <w:link w:val="CommentTextChar"/>
    <w:qFormat/>
    <w:pPr>
      <w:spacing w:lineRule="auto" w:line="240"/>
    </w:pPr>
    <w:rPr>
      <w:sz w:val="20"/>
      <w:szCs w:val="20"/>
    </w:rPr>
  </w:style>
  <w:style w:type="paragraph" w:styleId="annotationsubject">
    <w:name w:val="annotation subject"/>
    <w:basedOn w:val="CommentText"/>
    <w:next w:val="CommentText"/>
    <w:link w:val="CommentSubjectChar"/>
    <w:qFormat/>
    <w:pPr/>
    <w:rPr>
      <w:b/>
      <w:bCs/>
    </w:rPr>
  </w:style>
  <w:style w:type="paragraph" w:styleId="FrameContentsuser">
    <w:name w:val="Frame Contents (user)"/>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Revision">
    <w:name w:val="Revision"/>
    <w:qFormat/>
    <w:pPr>
      <w:widowControl/>
      <w:suppressAutoHyphens w:val="false"/>
      <w:overflowPunct w:val="true"/>
      <w:bidi w:val="0"/>
      <w:spacing w:before="0" w:after="0"/>
      <w:jc w:val="left"/>
    </w:pPr>
    <w:rPr>
      <w:rFonts w:ascii="Calibri" w:hAnsi="Calibri" w:eastAsia="Calibri" w:cs="0"/>
      <w:color w:val="auto"/>
      <w:kern w:val="0"/>
      <w:sz w:val="22"/>
      <w:szCs w:val="22"/>
      <w:lang w:val="en-US" w:eastAsia="en-US" w:bidi="ar-SA"/>
    </w:rPr>
  </w:style>
  <w:style w:type="paragraph" w:styleId="BodyTextIndent2">
    <w:name w:val="Body Text Indent 2"/>
    <w:basedOn w:val="Normal"/>
    <w:qFormat/>
    <w:pPr>
      <w:spacing w:lineRule="exact" w:line="480" w:before="0" w:after="120"/>
      <w:ind w:hanging="0" w:left="283" w:right="0"/>
    </w:pPr>
    <w:rPr/>
  </w:style>
  <w:style w:type="paragraph" w:styleId="BodyText2">
    <w:name w:val="Body Text 2"/>
    <w:basedOn w:val="Normal"/>
    <w:qFormat/>
    <w:pPr>
      <w:spacing w:lineRule="exact" w:line="480" w:before="0" w:after="12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FrameContents">
    <w:name w:val="Frame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493607/4d17a07d48e7ac5debb838336975310558e80680/" TargetMode="External"/><Relationship Id="rId3" Type="http://schemas.openxmlformats.org/officeDocument/2006/relationships/hyperlink" Target="https://zakupki.gov.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15624</TotalTime>
  <Application>LibreOffice/25.8.1.1$Linux_X86_64 LibreOffice_project/580$Build-1</Application>
  <AppVersion>15.0000</AppVersion>
  <Pages>26</Pages>
  <Words>10124</Words>
  <Characters>72021</Characters>
  <CharactersWithSpaces>80188</CharactersWithSpaces>
  <Paragraphs>2093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2024-04-03T10:45:00Z</dcterms:created>
  <dc:creator>Lenovo</dc:creator>
  <dc:description/>
  <dc:language>ru-RU</dc:language>
  <cp:lastModifiedBy/>
  <cp:lastPrinted>2026-04-01T09:28:27Z</cp:lastPrinted>
  <dcterms:modified xsi:type="dcterms:W3CDTF">2026-07-15T16:57:19Z</dcterms:modified>
  <cp:revision>459</cp:revision>
  <dc:subject/>
  <dc:title/>
</cp:coreProperties>
</file>

<file path=docProps/custom.xml><?xml version="1.0" encoding="utf-8"?>
<Properties xmlns="http://schemas.openxmlformats.org/officeDocument/2006/custom-properties" xmlns:vt="http://schemas.openxmlformats.org/officeDocument/2006/docPropsVTypes"/>
</file>